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jc w:val="center"/>
        <w:rPr>
          <w:rFonts w:hint="eastAsia"/>
          <w:sz w:val="56"/>
          <w:szCs w:val="56"/>
        </w:rPr>
      </w:pPr>
    </w:p>
    <w:p>
      <w:pPr>
        <w:pStyle w:val="10"/>
        <w:jc w:val="center"/>
        <w:rPr>
          <w:sz w:val="56"/>
          <w:szCs w:val="56"/>
        </w:rPr>
      </w:pPr>
    </w:p>
    <w:p>
      <w:pPr>
        <w:pStyle w:val="10"/>
        <w:jc w:val="center"/>
        <w:rPr>
          <w:sz w:val="84"/>
          <w:szCs w:val="84"/>
        </w:rPr>
      </w:pPr>
    </w:p>
    <w:p>
      <w:pPr>
        <w:pStyle w:val="10"/>
        <w:jc w:val="center"/>
        <w:rPr>
          <w:sz w:val="84"/>
          <w:szCs w:val="84"/>
        </w:rPr>
      </w:pPr>
    </w:p>
    <w:p>
      <w:pPr>
        <w:pStyle w:val="10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2021年度</w:t>
      </w:r>
    </w:p>
    <w:p>
      <w:pPr>
        <w:pStyle w:val="10"/>
        <w:jc w:val="center"/>
        <w:rPr>
          <w:rFonts w:hint="eastAsia"/>
          <w:sz w:val="84"/>
          <w:szCs w:val="84"/>
          <w:lang w:eastAsia="zh-CN"/>
        </w:rPr>
      </w:pPr>
      <w:r>
        <w:rPr>
          <w:rFonts w:hint="eastAsia"/>
          <w:sz w:val="84"/>
          <w:szCs w:val="84"/>
          <w:lang w:eastAsia="zh-CN"/>
        </w:rPr>
        <w:t>岳阳市公安局君山分局</w:t>
      </w:r>
    </w:p>
    <w:p>
      <w:pPr>
        <w:pStyle w:val="10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部门决算</w:t>
      </w:r>
    </w:p>
    <w:p>
      <w:pPr>
        <w:pStyle w:val="10"/>
        <w:jc w:val="center"/>
        <w:rPr>
          <w:sz w:val="56"/>
          <w:szCs w:val="56"/>
        </w:rPr>
      </w:pPr>
    </w:p>
    <w:p>
      <w:pPr>
        <w:pStyle w:val="10"/>
        <w:jc w:val="center"/>
        <w:rPr>
          <w:sz w:val="56"/>
          <w:szCs w:val="56"/>
        </w:rPr>
      </w:pPr>
    </w:p>
    <w:p>
      <w:pPr>
        <w:pStyle w:val="10"/>
        <w:jc w:val="center"/>
        <w:rPr>
          <w:sz w:val="56"/>
          <w:szCs w:val="56"/>
        </w:rPr>
      </w:pPr>
    </w:p>
    <w:p>
      <w:pPr>
        <w:pStyle w:val="10"/>
        <w:jc w:val="center"/>
        <w:rPr>
          <w:sz w:val="56"/>
          <w:szCs w:val="56"/>
        </w:rPr>
      </w:pPr>
    </w:p>
    <w:p>
      <w:pPr>
        <w:pStyle w:val="10"/>
        <w:jc w:val="center"/>
        <w:rPr>
          <w:sz w:val="32"/>
          <w:szCs w:val="32"/>
        </w:rPr>
      </w:pPr>
    </w:p>
    <w:p>
      <w:pPr>
        <w:pStyle w:val="10"/>
        <w:jc w:val="center"/>
        <w:rPr>
          <w:sz w:val="32"/>
          <w:szCs w:val="32"/>
        </w:rPr>
      </w:pPr>
    </w:p>
    <w:p>
      <w:pPr>
        <w:pStyle w:val="10"/>
        <w:jc w:val="center"/>
        <w:rPr>
          <w:sz w:val="32"/>
          <w:szCs w:val="32"/>
        </w:rPr>
      </w:pPr>
    </w:p>
    <w:p>
      <w:pPr>
        <w:pStyle w:val="10"/>
        <w:jc w:val="center"/>
        <w:rPr>
          <w:sz w:val="32"/>
          <w:szCs w:val="32"/>
        </w:rPr>
      </w:pPr>
    </w:p>
    <w:p>
      <w:pPr>
        <w:pStyle w:val="10"/>
        <w:spacing w:line="500" w:lineRule="exact"/>
        <w:jc w:val="both"/>
        <w:rPr>
          <w:b/>
          <w:sz w:val="36"/>
          <w:szCs w:val="28"/>
        </w:rPr>
      </w:pPr>
    </w:p>
    <w:p>
      <w:pPr>
        <w:pStyle w:val="10"/>
        <w:spacing w:line="500" w:lineRule="exact"/>
        <w:jc w:val="center"/>
        <w:rPr>
          <w:b/>
          <w:sz w:val="36"/>
          <w:szCs w:val="28"/>
        </w:rPr>
      </w:pP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jc w:val="center"/>
        <w:textAlignment w:val="auto"/>
        <w:rPr>
          <w:b/>
          <w:sz w:val="36"/>
          <w:szCs w:val="28"/>
        </w:rPr>
      </w:pPr>
      <w:r>
        <w:rPr>
          <w:rFonts w:hint="eastAsia"/>
          <w:b/>
          <w:sz w:val="36"/>
          <w:szCs w:val="28"/>
        </w:rPr>
        <w:t>目录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textAlignment w:val="auto"/>
        <w:rPr>
          <w:rFonts w:ascii="仿宋_GB2312" w:hAnsi="仿宋_GB2312" w:cs="仿宋_GB2312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第一部分</w:t>
      </w:r>
      <w:r>
        <w:rPr>
          <w:rFonts w:hint="eastAsia"/>
          <w:b/>
          <w:sz w:val="28"/>
          <w:szCs w:val="28"/>
          <w:lang w:val="en-US" w:eastAsia="zh-CN"/>
        </w:rPr>
        <w:t xml:space="preserve">  </w:t>
      </w:r>
      <w:r>
        <w:rPr>
          <w:rFonts w:hint="eastAsia"/>
          <w:b/>
          <w:sz w:val="28"/>
          <w:szCs w:val="28"/>
          <w:lang w:eastAsia="zh-CN"/>
        </w:rPr>
        <w:t>岳阳市公安局君山分局</w:t>
      </w:r>
      <w:r>
        <w:rPr>
          <w:rFonts w:hint="eastAsia"/>
          <w:b/>
          <w:sz w:val="28"/>
          <w:szCs w:val="28"/>
        </w:rPr>
        <w:t>单位概况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一、部门职责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二、机构设置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textAlignment w:val="auto"/>
        <w:rPr>
          <w:rFonts w:ascii="仿宋_GB2312" w:hAnsi="仿宋_GB2312" w:cs="仿宋_GB2312"/>
          <w:b/>
          <w:sz w:val="28"/>
          <w:szCs w:val="28"/>
        </w:rPr>
      </w:pPr>
      <w:r>
        <w:rPr>
          <w:rFonts w:hint="eastAsia" w:hAnsi="仿宋_GB2312"/>
          <w:b/>
          <w:sz w:val="28"/>
          <w:szCs w:val="28"/>
        </w:rPr>
        <w:t>第二部分</w:t>
      </w:r>
      <w:r>
        <w:rPr>
          <w:rFonts w:hint="eastAsia" w:hAnsi="仿宋_GB2312"/>
          <w:b/>
          <w:sz w:val="28"/>
          <w:szCs w:val="28"/>
          <w:lang w:val="en-US" w:eastAsia="zh-CN"/>
        </w:rPr>
        <w:t xml:space="preserve">  </w:t>
      </w:r>
      <w:r>
        <w:rPr>
          <w:rFonts w:hAnsi="仿宋_GB2312"/>
          <w:b/>
          <w:sz w:val="28"/>
          <w:szCs w:val="28"/>
        </w:rPr>
        <w:t>20</w:t>
      </w:r>
      <w:r>
        <w:rPr>
          <w:rFonts w:hint="eastAsia" w:hAnsi="仿宋_GB2312"/>
          <w:b/>
          <w:sz w:val="28"/>
          <w:szCs w:val="28"/>
        </w:rPr>
        <w:t>21年度部门决算表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一、收入支出决算总表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二、收入决算表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三、支出决算表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四、财政拨款收入支出决算总表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五、一般公共预算财政拨款支出决算表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六、一般公共预算财政拨款基本支出决算</w:t>
      </w:r>
      <w:r>
        <w:rPr>
          <w:rFonts w:hint="eastAsia" w:cs="仿宋_GB2312" w:asciiTheme="minorEastAsia" w:hAnsiTheme="minorEastAsia" w:eastAsiaTheme="minorEastAsia"/>
          <w:sz w:val="28"/>
          <w:szCs w:val="28"/>
        </w:rPr>
        <w:t>明细</w:t>
      </w:r>
      <w:r>
        <w:rPr>
          <w:rFonts w:cs="仿宋_GB2312" w:asciiTheme="minorEastAsia" w:hAnsiTheme="minorEastAsia" w:eastAsiaTheme="minorEastAsia"/>
          <w:sz w:val="28"/>
          <w:szCs w:val="28"/>
        </w:rPr>
        <w:t>表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七、一般公共预算财政拨款“三公”经费支出决算表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八、政府性基金预算财政拨款收入支出决算表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hint="eastAsia" w:cs="仿宋_GB2312" w:asciiTheme="minorEastAsia" w:hAnsiTheme="minorEastAsia" w:eastAsiaTheme="minorEastAsia"/>
          <w:sz w:val="28"/>
          <w:szCs w:val="28"/>
        </w:rPr>
        <w:t>九、国有资本经营预算财政拨款支出决算表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textAlignment w:val="auto"/>
        <w:rPr>
          <w:rFonts w:ascii="仿宋_GB2312" w:hAnsi="仿宋_GB2312" w:cs="仿宋_GB2312"/>
          <w:b/>
          <w:sz w:val="28"/>
          <w:szCs w:val="28"/>
        </w:rPr>
      </w:pPr>
      <w:r>
        <w:rPr>
          <w:rFonts w:hint="eastAsia" w:hAnsi="仿宋_GB2312"/>
          <w:b/>
          <w:sz w:val="28"/>
          <w:szCs w:val="28"/>
        </w:rPr>
        <w:t>第三部分</w:t>
      </w:r>
      <w:r>
        <w:rPr>
          <w:rFonts w:hint="eastAsia" w:hAnsi="仿宋_GB2312"/>
          <w:b/>
          <w:sz w:val="28"/>
          <w:szCs w:val="28"/>
          <w:lang w:val="en-US" w:eastAsia="zh-CN"/>
        </w:rPr>
        <w:t xml:space="preserve">  </w:t>
      </w:r>
      <w:r>
        <w:rPr>
          <w:rFonts w:hAnsi="仿宋_GB2312"/>
          <w:b/>
          <w:sz w:val="28"/>
          <w:szCs w:val="28"/>
        </w:rPr>
        <w:t>20</w:t>
      </w:r>
      <w:r>
        <w:rPr>
          <w:rFonts w:hint="eastAsia" w:hAnsi="仿宋_GB2312"/>
          <w:b/>
          <w:sz w:val="28"/>
          <w:szCs w:val="28"/>
        </w:rPr>
        <w:t>21年度部门决算情况说明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一、收入支出决算总体情况说明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sz w:val="28"/>
          <w:szCs w:val="28"/>
        </w:rPr>
      </w:pPr>
      <w:r>
        <w:rPr>
          <w:rFonts w:ascii="仿宋_GB2312" w:hAnsi="仿宋_GB2312" w:cs="仿宋_GB2312"/>
          <w:sz w:val="28"/>
          <w:szCs w:val="28"/>
        </w:rPr>
        <w:t>二、收入决算情况说明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三、支出决算情况说明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四、财政拨款收入支出决算总体情况说明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五、一般公共预算财政拨款支出决算情况说明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六、一般公共预算财政拨款基本支出决算情况说明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七、一般公共预算财政拨款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“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三公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”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经费支出决算情况说明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八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、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政府性基金预算收入支出决算情况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cs="仿宋_GB2312" w:eastAsiaTheme="minorEastAsia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九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、</w:t>
      </w:r>
      <w:r>
        <w:rPr>
          <w:rFonts w:hint="eastAsia" w:cs="仿宋_GB2312" w:asciiTheme="minorEastAsia" w:hAnsiTheme="minorEastAsia" w:eastAsiaTheme="minorEastAsia"/>
          <w:sz w:val="28"/>
          <w:szCs w:val="28"/>
        </w:rPr>
        <w:t>国有资本经营预算财政拨款支出决算</w:t>
      </w:r>
      <w:r>
        <w:rPr>
          <w:rFonts w:hint="eastAsia" w:cs="仿宋_GB2312" w:asciiTheme="minorEastAsia" w:hAnsiTheme="minorEastAsia"/>
          <w:sz w:val="28"/>
          <w:szCs w:val="28"/>
          <w:lang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十、机关运行经费支出说明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十一、一般性支出情况说明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 w:eastAsiaTheme="minorEastAsia"/>
          <w:sz w:val="28"/>
          <w:szCs w:val="28"/>
        </w:rPr>
      </w:pPr>
      <w:r>
        <w:rPr>
          <w:rFonts w:hint="eastAsia" w:ascii="仿宋_GB2312" w:hAnsi="仿宋_GB2312" w:cs="仿宋_GB2312" w:eastAsiaTheme="minorEastAsia"/>
          <w:sz w:val="28"/>
          <w:szCs w:val="28"/>
        </w:rPr>
        <w:t>十二、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政府采购支出说明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hint="eastAsia" w:ascii="仿宋_GB2312" w:hAnsi="仿宋_GB2312" w:cs="仿宋_GB2312" w:eastAsiaTheme="minorEastAsia"/>
          <w:sz w:val="28"/>
          <w:szCs w:val="28"/>
        </w:rPr>
      </w:pPr>
      <w:r>
        <w:rPr>
          <w:rFonts w:hint="eastAsia" w:ascii="仿宋_GB2312" w:hAnsi="仿宋_GB2312" w:cs="仿宋_GB2312" w:eastAsiaTheme="minorEastAsia"/>
          <w:sz w:val="28"/>
          <w:szCs w:val="28"/>
        </w:rPr>
        <w:t>十三、国有资产占用情况说明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hint="eastAsia" w:ascii="仿宋_GB2312" w:hAnsi="仿宋_GB2312" w:cs="仿宋_GB2312" w:eastAsiaTheme="minorEastAsia"/>
          <w:sz w:val="28"/>
          <w:szCs w:val="28"/>
          <w:lang w:eastAsia="zh-CN"/>
        </w:rPr>
      </w:pPr>
      <w:r>
        <w:rPr>
          <w:rFonts w:hint="eastAsia" w:ascii="仿宋_GB2312" w:hAnsi="仿宋_GB2312" w:cs="仿宋_GB2312" w:eastAsiaTheme="minorEastAsia"/>
          <w:sz w:val="28"/>
          <w:szCs w:val="28"/>
          <w:lang w:eastAsia="zh-CN"/>
        </w:rPr>
        <w:t>十四、</w:t>
      </w:r>
      <w:r>
        <w:rPr>
          <w:rFonts w:hint="eastAsia" w:cs="仿宋_GB2312" w:asciiTheme="minorEastAsia" w:hAnsiTheme="minorEastAsia" w:eastAsiaTheme="minorEastAsia"/>
          <w:sz w:val="28"/>
          <w:szCs w:val="28"/>
        </w:rPr>
        <w:t>2021年</w:t>
      </w:r>
      <w:r>
        <w:rPr>
          <w:rFonts w:hint="eastAsia" w:ascii="仿宋_GB2312" w:hAnsi="仿宋_GB2312" w:cs="仿宋_GB2312" w:eastAsiaTheme="minorEastAsia"/>
          <w:sz w:val="28"/>
          <w:szCs w:val="28"/>
        </w:rPr>
        <w:t>度预算绩效情况说明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jc w:val="left"/>
        <w:textAlignment w:val="auto"/>
        <w:rPr>
          <w:rFonts w:ascii="黑体" w:hAnsi="黑体" w:eastAsia="黑体" w:cs="黑体"/>
          <w:b/>
          <w:color w:val="000000"/>
          <w:kern w:val="0"/>
          <w:sz w:val="28"/>
          <w:szCs w:val="28"/>
        </w:rPr>
      </w:pPr>
      <w:r>
        <w:rPr>
          <w:rFonts w:ascii="黑体" w:hAnsi="黑体" w:eastAsia="黑体" w:cs="黑体"/>
          <w:b/>
          <w:color w:val="000000"/>
          <w:kern w:val="0"/>
          <w:sz w:val="28"/>
          <w:szCs w:val="28"/>
        </w:rPr>
        <w:t>第四部分</w:t>
      </w: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ascii="黑体" w:hAnsi="黑体" w:eastAsia="黑体" w:cs="黑体"/>
          <w:b/>
          <w:color w:val="000000"/>
          <w:kern w:val="0"/>
          <w:sz w:val="28"/>
          <w:szCs w:val="28"/>
        </w:rPr>
        <w:t>名词解释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jc w:val="left"/>
        <w:textAlignment w:val="auto"/>
        <w:rPr>
          <w:rFonts w:ascii="黑体" w:hAnsi="黑体" w:eastAsia="黑体" w:cs="仿宋_GB2312"/>
          <w:b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</w:rPr>
        <w:t>第五部分</w:t>
      </w: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20" w:lineRule="exact"/>
        <w:jc w:val="center"/>
        <w:textAlignment w:val="auto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rPr>
          <w:sz w:val="72"/>
          <w:szCs w:val="72"/>
        </w:rPr>
      </w:pPr>
    </w:p>
    <w:p>
      <w:pPr>
        <w:pStyle w:val="10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第一部分</w:t>
      </w:r>
      <w:r>
        <w:rPr>
          <w:sz w:val="84"/>
          <w:szCs w:val="84"/>
        </w:rPr>
        <w:t xml:space="preserve"> </w:t>
      </w:r>
    </w:p>
    <w:p>
      <w:pPr>
        <w:pStyle w:val="10"/>
        <w:jc w:val="center"/>
        <w:rPr>
          <w:sz w:val="84"/>
          <w:szCs w:val="84"/>
        </w:rPr>
      </w:pPr>
    </w:p>
    <w:p>
      <w:pPr>
        <w:pStyle w:val="10"/>
        <w:jc w:val="center"/>
        <w:rPr>
          <w:rFonts w:hint="eastAsia"/>
          <w:sz w:val="84"/>
          <w:szCs w:val="84"/>
          <w:lang w:eastAsia="zh-CN"/>
        </w:rPr>
      </w:pPr>
      <w:r>
        <w:rPr>
          <w:rFonts w:hint="eastAsia"/>
          <w:sz w:val="84"/>
          <w:szCs w:val="84"/>
          <w:lang w:eastAsia="zh-CN"/>
        </w:rPr>
        <w:t>岳阳市公安局</w:t>
      </w:r>
    </w:p>
    <w:p>
      <w:pPr>
        <w:pStyle w:val="10"/>
        <w:jc w:val="center"/>
        <w:rPr>
          <w:sz w:val="84"/>
          <w:szCs w:val="84"/>
        </w:rPr>
      </w:pPr>
      <w:r>
        <w:rPr>
          <w:rFonts w:hint="eastAsia"/>
          <w:sz w:val="84"/>
          <w:szCs w:val="84"/>
          <w:lang w:eastAsia="zh-CN"/>
        </w:rPr>
        <w:t>君山分局</w:t>
      </w:r>
      <w:r>
        <w:rPr>
          <w:rFonts w:hint="eastAsia"/>
          <w:sz w:val="84"/>
          <w:szCs w:val="84"/>
        </w:rPr>
        <w:t>单位概况</w:t>
      </w: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pStyle w:val="11"/>
        <w:ind w:left="0" w:leftChars="0" w:firstLine="0" w:firstLineChars="0"/>
        <w:jc w:val="left"/>
        <w:rPr>
          <w:rFonts w:ascii="黑体" w:hAnsi="黑体" w:eastAsia="黑体"/>
          <w:sz w:val="32"/>
          <w:szCs w:val="32"/>
        </w:rPr>
      </w:pPr>
    </w:p>
    <w:p>
      <w:pPr>
        <w:pStyle w:val="11"/>
        <w:ind w:left="720" w:firstLine="0" w:firstLineChars="0"/>
        <w:jc w:val="left"/>
        <w:rPr>
          <w:rFonts w:ascii="黑体" w:hAnsi="黑体" w:eastAsia="黑体"/>
          <w:sz w:val="32"/>
          <w:szCs w:val="32"/>
        </w:rPr>
      </w:pPr>
    </w:p>
    <w:p>
      <w:pPr>
        <w:pStyle w:val="11"/>
        <w:numPr>
          <w:ilvl w:val="0"/>
          <w:numId w:val="1"/>
        </w:numPr>
        <w:ind w:firstLineChars="0"/>
        <w:jc w:val="left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部门职责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33" w:lineRule="atLeast"/>
        <w:ind w:right="0" w:firstLine="640" w:firstLineChars="200"/>
        <w:rPr>
          <w:rFonts w:hint="eastAsia" w:asciiTheme="minorEastAsia" w:hAnsiTheme="minorEastAsia" w:eastAsiaTheme="minorEastAsia" w:cstheme="minorBidi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Theme="minorEastAsia" w:hAnsiTheme="minorEastAsia" w:eastAsiaTheme="minorEastAsia" w:cstheme="minorBidi"/>
          <w:bCs/>
          <w:kern w:val="0"/>
          <w:sz w:val="32"/>
          <w:szCs w:val="32"/>
          <w:lang w:val="en-US" w:eastAsia="zh-CN" w:bidi="ar-SA"/>
        </w:rPr>
        <w:t>岳阳市公安局君山分局主管岳阳市君山区公安工作,受上级机关和地方党委、政府双重领导和管理，承担辖区内的打击治安刑事犯罪、维护社会治安综合治理的工作，及法律、法规规定的其他职责。</w:t>
      </w:r>
    </w:p>
    <w:p>
      <w:pPr>
        <w:widowControl/>
        <w:spacing w:line="600" w:lineRule="exact"/>
        <w:rPr>
          <w:rFonts w:ascii="黑体" w:hAnsi="黑体" w:eastAsia="黑体"/>
          <w:bCs/>
          <w:kern w:val="0"/>
          <w:sz w:val="32"/>
          <w:szCs w:val="32"/>
        </w:rPr>
      </w:pPr>
      <w:r>
        <w:rPr>
          <w:rFonts w:hint="eastAsia" w:ascii="黑体" w:hAnsi="黑体" w:eastAsia="黑体"/>
          <w:bCs/>
          <w:kern w:val="0"/>
          <w:sz w:val="32"/>
          <w:szCs w:val="32"/>
        </w:rPr>
        <w:t>二、机构设置及决算单位构成</w:t>
      </w:r>
    </w:p>
    <w:p>
      <w:pPr>
        <w:widowControl/>
        <w:spacing w:line="600" w:lineRule="exact"/>
        <w:ind w:firstLine="640" w:firstLineChars="200"/>
        <w:rPr>
          <w:rFonts w:hint="eastAsia" w:asciiTheme="minorEastAsia" w:hAnsiTheme="minorEastAsia" w:eastAsiaTheme="minorEastAsia"/>
          <w:bCs/>
          <w:kern w:val="0"/>
          <w:sz w:val="32"/>
          <w:szCs w:val="32"/>
          <w:lang w:eastAsia="zh-CN"/>
        </w:rPr>
      </w:pPr>
      <w:r>
        <w:rPr>
          <w:rFonts w:hint="eastAsia" w:asciiTheme="minorEastAsia" w:hAnsiTheme="minorEastAsia"/>
          <w:bCs/>
          <w:kern w:val="0"/>
          <w:sz w:val="32"/>
          <w:szCs w:val="32"/>
        </w:rPr>
        <w:t>（一）内设机构设置。</w:t>
      </w:r>
      <w:r>
        <w:rPr>
          <w:rFonts w:hint="eastAsia" w:asciiTheme="minorEastAsia" w:hAnsiTheme="minorEastAsia"/>
          <w:bCs/>
          <w:kern w:val="0"/>
          <w:sz w:val="32"/>
          <w:szCs w:val="32"/>
          <w:lang w:eastAsia="zh-CN"/>
        </w:rPr>
        <w:t>岳阳市公安局君山分局</w:t>
      </w:r>
      <w:r>
        <w:rPr>
          <w:rFonts w:hint="eastAsia" w:asciiTheme="minorEastAsia" w:hAnsiTheme="minorEastAsia"/>
          <w:bCs/>
          <w:kern w:val="0"/>
          <w:sz w:val="32"/>
          <w:szCs w:val="32"/>
        </w:rPr>
        <w:t>包括：</w:t>
      </w:r>
      <w:r>
        <w:rPr>
          <w:rFonts w:hint="eastAsia" w:asciiTheme="minorEastAsia" w:hAnsiTheme="minorEastAsia"/>
          <w:bCs/>
          <w:kern w:val="0"/>
          <w:sz w:val="32"/>
          <w:szCs w:val="32"/>
          <w:lang w:eastAsia="zh-CN"/>
        </w:rPr>
        <w:t>政工室、警务保障室、纪委检查室、办公室、法制大队、国保大队、刑事侦查大队、经侦大队、治安大队、拘留所等</w:t>
      </w:r>
      <w:r>
        <w:rPr>
          <w:rFonts w:hint="eastAsia" w:asciiTheme="minorEastAsia" w:hAnsiTheme="minorEastAsia"/>
          <w:bCs/>
          <w:kern w:val="0"/>
          <w:sz w:val="32"/>
          <w:szCs w:val="32"/>
          <w:lang w:val="en-US" w:eastAsia="zh-CN"/>
        </w:rPr>
        <w:t>16个内设机构，下属</w:t>
      </w:r>
      <w:r>
        <w:rPr>
          <w:rFonts w:hint="eastAsia" w:asciiTheme="minorEastAsia" w:hAnsiTheme="minorEastAsia"/>
          <w:bCs/>
          <w:kern w:val="0"/>
          <w:sz w:val="32"/>
          <w:szCs w:val="32"/>
          <w:lang w:eastAsia="zh-CN"/>
        </w:rPr>
        <w:t>林角佬派出所、君山派出所、柳林洲派出所、广兴洲派出所、许市派出所、采桑湖派出所、钱粮湖派出所、良心堡派出所等</w:t>
      </w:r>
      <w:r>
        <w:rPr>
          <w:rFonts w:hint="eastAsia" w:asciiTheme="minorEastAsia" w:hAnsiTheme="minorEastAsia"/>
          <w:bCs/>
          <w:kern w:val="0"/>
          <w:sz w:val="32"/>
          <w:szCs w:val="32"/>
          <w:lang w:val="en-US" w:eastAsia="zh-CN"/>
        </w:rPr>
        <w:t>8个派出所</w:t>
      </w:r>
      <w:r>
        <w:rPr>
          <w:rFonts w:hint="eastAsia" w:asciiTheme="minorEastAsia" w:hAnsiTheme="minorEastAsia"/>
          <w:bCs/>
          <w:kern w:val="0"/>
          <w:sz w:val="32"/>
          <w:szCs w:val="32"/>
          <w:lang w:eastAsia="zh-CN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rPr>
          <w:rFonts w:asciiTheme="minorEastAsia" w:hAnsiTheme="minorEastAsia"/>
          <w:bCs/>
          <w:i/>
          <w:iCs/>
          <w:kern w:val="0"/>
          <w:sz w:val="32"/>
          <w:szCs w:val="32"/>
        </w:rPr>
      </w:pPr>
      <w:r>
        <w:rPr>
          <w:rFonts w:hint="eastAsia" w:asciiTheme="minorEastAsia" w:hAnsiTheme="minorEastAsia"/>
          <w:bCs/>
          <w:kern w:val="0"/>
          <w:sz w:val="32"/>
          <w:szCs w:val="32"/>
          <w:lang w:eastAsia="zh-CN"/>
        </w:rPr>
        <w:t>（二）</w:t>
      </w:r>
      <w:r>
        <w:rPr>
          <w:rFonts w:hint="eastAsia" w:asciiTheme="minorEastAsia" w:hAnsiTheme="minorEastAsia"/>
          <w:bCs/>
          <w:kern w:val="0"/>
          <w:sz w:val="32"/>
          <w:szCs w:val="32"/>
        </w:rPr>
        <w:t>决算单位构成。</w:t>
      </w:r>
      <w:r>
        <w:rPr>
          <w:rFonts w:hint="eastAsia" w:asciiTheme="minorEastAsia" w:hAnsiTheme="minorEastAsia"/>
          <w:bCs/>
          <w:kern w:val="0"/>
          <w:sz w:val="32"/>
          <w:szCs w:val="32"/>
          <w:lang w:eastAsia="zh-CN"/>
        </w:rPr>
        <w:t>岳阳市公安局君山分局</w:t>
      </w:r>
      <w:r>
        <w:rPr>
          <w:rFonts w:asciiTheme="minorEastAsia" w:hAnsiTheme="minorEastAsia"/>
          <w:bCs/>
          <w:kern w:val="0"/>
          <w:sz w:val="32"/>
          <w:szCs w:val="32"/>
        </w:rPr>
        <w:t>20</w:t>
      </w:r>
      <w:r>
        <w:rPr>
          <w:rFonts w:hint="eastAsia" w:asciiTheme="minorEastAsia" w:hAnsiTheme="minorEastAsia"/>
          <w:bCs/>
          <w:kern w:val="0"/>
          <w:sz w:val="32"/>
          <w:szCs w:val="32"/>
        </w:rPr>
        <w:t>2</w:t>
      </w:r>
      <w:r>
        <w:rPr>
          <w:rFonts w:hint="eastAsia" w:asciiTheme="minorEastAsia" w:hAnsiTheme="minorEastAsia"/>
          <w:bCs/>
          <w:kern w:val="0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/>
          <w:bCs/>
          <w:kern w:val="0"/>
          <w:sz w:val="32"/>
          <w:szCs w:val="32"/>
        </w:rPr>
        <w:t>年部门决算汇总公开单位构成包括：</w:t>
      </w:r>
      <w:r>
        <w:rPr>
          <w:rFonts w:hint="eastAsia" w:asciiTheme="minorEastAsia" w:hAnsiTheme="minorEastAsia"/>
          <w:bCs/>
          <w:kern w:val="0"/>
          <w:sz w:val="32"/>
          <w:szCs w:val="32"/>
          <w:lang w:eastAsia="zh-CN"/>
        </w:rPr>
        <w:t>岳阳市公安局君山分局</w:t>
      </w:r>
      <w:r>
        <w:rPr>
          <w:rFonts w:hint="eastAsia" w:asciiTheme="minorEastAsia" w:hAnsiTheme="minorEastAsia"/>
          <w:bCs/>
          <w:kern w:val="0"/>
          <w:sz w:val="32"/>
          <w:szCs w:val="32"/>
        </w:rPr>
        <w:t>本级</w:t>
      </w:r>
    </w:p>
    <w:p>
      <w:pPr>
        <w:jc w:val="left"/>
        <w:rPr>
          <w:rFonts w:ascii="仿宋_GB2312" w:eastAsia="仿宋_GB2312" w:hAnsiTheme="minorEastAsia"/>
          <w:sz w:val="28"/>
          <w:szCs w:val="32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第二部分</w:t>
      </w:r>
    </w:p>
    <w:p>
      <w:pPr>
        <w:jc w:val="center"/>
        <w:rPr>
          <w:sz w:val="72"/>
          <w:szCs w:val="72"/>
        </w:rPr>
      </w:pPr>
    </w:p>
    <w:p>
      <w:pPr>
        <w:jc w:val="center"/>
        <w:rPr>
          <w:rFonts w:hint="eastAsia"/>
          <w:sz w:val="72"/>
          <w:szCs w:val="72"/>
        </w:rPr>
      </w:pPr>
      <w:r>
        <w:rPr>
          <w:rFonts w:hint="eastAsia"/>
          <w:sz w:val="72"/>
          <w:szCs w:val="72"/>
        </w:rPr>
        <w:t>部门决算表</w:t>
      </w:r>
    </w:p>
    <w:p>
      <w:pPr>
        <w:jc w:val="center"/>
        <w:rPr>
          <w:rFonts w:hint="eastAsia" w:eastAsiaTheme="minorEastAsia"/>
          <w:sz w:val="72"/>
          <w:szCs w:val="72"/>
          <w:lang w:eastAsia="zh-CN"/>
        </w:rPr>
      </w:pPr>
      <w:r>
        <w:rPr>
          <w:rFonts w:hint="eastAsia"/>
          <w:sz w:val="72"/>
          <w:szCs w:val="72"/>
          <w:lang w:eastAsia="zh-CN"/>
        </w:rPr>
        <w:t>（见附件）</w:t>
      </w: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left"/>
        <w:rPr>
          <w:rFonts w:asciiTheme="minorEastAsia" w:hAnsiTheme="minorEastAsia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pPr>
        <w:pStyle w:val="10"/>
        <w:jc w:val="both"/>
        <w:rPr>
          <w:sz w:val="72"/>
          <w:szCs w:val="72"/>
        </w:rPr>
      </w:pPr>
    </w:p>
    <w:p>
      <w:pPr>
        <w:pStyle w:val="10"/>
        <w:jc w:val="center"/>
        <w:rPr>
          <w:sz w:val="72"/>
          <w:szCs w:val="72"/>
        </w:rPr>
      </w:pPr>
    </w:p>
    <w:p>
      <w:pPr>
        <w:pStyle w:val="10"/>
        <w:jc w:val="center"/>
        <w:rPr>
          <w:rFonts w:hint="eastAsia"/>
          <w:sz w:val="72"/>
          <w:szCs w:val="72"/>
        </w:rPr>
      </w:pPr>
    </w:p>
    <w:p>
      <w:pPr>
        <w:pStyle w:val="10"/>
        <w:jc w:val="center"/>
        <w:rPr>
          <w:rFonts w:hint="eastAsia"/>
          <w:sz w:val="72"/>
          <w:szCs w:val="72"/>
        </w:rPr>
      </w:pPr>
    </w:p>
    <w:p>
      <w:pPr>
        <w:pStyle w:val="10"/>
        <w:jc w:val="center"/>
        <w:rPr>
          <w:rFonts w:hint="eastAsia"/>
          <w:sz w:val="72"/>
          <w:szCs w:val="72"/>
        </w:rPr>
      </w:pPr>
    </w:p>
    <w:p>
      <w:pPr>
        <w:pStyle w:val="10"/>
        <w:jc w:val="center"/>
        <w:rPr>
          <w:rFonts w:hint="eastAsia"/>
          <w:sz w:val="72"/>
          <w:szCs w:val="72"/>
        </w:rPr>
      </w:pPr>
    </w:p>
    <w:p>
      <w:pPr>
        <w:pStyle w:val="10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第三部分</w:t>
      </w:r>
    </w:p>
    <w:p>
      <w:pPr>
        <w:pStyle w:val="10"/>
        <w:jc w:val="center"/>
        <w:rPr>
          <w:sz w:val="70"/>
          <w:szCs w:val="70"/>
        </w:rPr>
      </w:pPr>
    </w:p>
    <w:p>
      <w:pPr>
        <w:pStyle w:val="10"/>
        <w:jc w:val="center"/>
        <w:rPr>
          <w:sz w:val="70"/>
          <w:szCs w:val="70"/>
        </w:rPr>
      </w:pPr>
      <w:r>
        <w:rPr>
          <w:sz w:val="70"/>
          <w:szCs w:val="70"/>
        </w:rPr>
        <w:t>20</w:t>
      </w:r>
      <w:r>
        <w:rPr>
          <w:rFonts w:hint="eastAsia"/>
          <w:sz w:val="70"/>
          <w:szCs w:val="70"/>
        </w:rPr>
        <w:t>21年度部门决算情况说明</w:t>
      </w:r>
    </w:p>
    <w:p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sz w:val="70"/>
          <w:szCs w:val="70"/>
        </w:rPr>
        <w:br w:type="page"/>
      </w:r>
    </w:p>
    <w:p>
      <w:pPr>
        <w:pStyle w:val="10"/>
        <w:rPr>
          <w:rFonts w:asciiTheme="minorEastAsia" w:hAnsiTheme="minorEastAsia" w:eastAsiaTheme="minorEastAsia"/>
          <w:sz w:val="32"/>
          <w:szCs w:val="32"/>
        </w:rPr>
      </w:pPr>
    </w:p>
    <w:p>
      <w:pPr>
        <w:pStyle w:val="10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一、收入支出决算总体情况说明</w:t>
      </w:r>
    </w:p>
    <w:p>
      <w:pPr>
        <w:pStyle w:val="10"/>
        <w:ind w:firstLine="640" w:firstLineChars="200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2021年度收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入</w:t>
      </w:r>
      <w:r>
        <w:rPr>
          <w:rFonts w:hint="eastAsia" w:asciiTheme="minorEastAsia" w:hAnsiTheme="minorEastAsia" w:eastAsiaTheme="minorEastAsia"/>
          <w:sz w:val="32"/>
          <w:szCs w:val="32"/>
        </w:rPr>
        <w:t>总计4712万元。与上年相比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，</w:t>
      </w:r>
      <w:r>
        <w:rPr>
          <w:rFonts w:hint="eastAsia" w:asciiTheme="minorEastAsia" w:hAnsiTheme="minorEastAsia" w:eastAsiaTheme="minorEastAsia"/>
          <w:sz w:val="32"/>
          <w:szCs w:val="32"/>
        </w:rPr>
        <w:t>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1167.3</w:t>
      </w:r>
      <w:r>
        <w:rPr>
          <w:rFonts w:hint="eastAsia" w:asciiTheme="minorEastAsia" w:hAnsiTheme="minorEastAsia" w:eastAsiaTheme="minorEastAsia"/>
          <w:sz w:val="32"/>
          <w:szCs w:val="32"/>
        </w:rPr>
        <w:t>万元，减少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19.85</w:t>
      </w:r>
      <w:r>
        <w:rPr>
          <w:rFonts w:hint="eastAsia" w:asciiTheme="minorEastAsia" w:hAnsiTheme="minorEastAsia" w:eastAsiaTheme="minorEastAsia"/>
          <w:sz w:val="32"/>
          <w:szCs w:val="32"/>
        </w:rPr>
        <w:t>%，主要是因为主要是因为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人员经费及非税收入超收安排减少所致；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2021年度支出总计</w:t>
      </w:r>
      <w:r>
        <w:rPr>
          <w:rFonts w:hint="eastAsia" w:asciiTheme="minorEastAsia" w:hAnsiTheme="minorEastAsia" w:eastAsiaTheme="minorEastAsia"/>
          <w:sz w:val="32"/>
          <w:szCs w:val="32"/>
        </w:rPr>
        <w:t>4712万元。与上年相比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，</w:t>
      </w:r>
      <w:r>
        <w:rPr>
          <w:rFonts w:hint="eastAsia" w:asciiTheme="minorEastAsia" w:hAnsiTheme="minorEastAsia" w:eastAsiaTheme="minorEastAsia"/>
          <w:sz w:val="32"/>
          <w:szCs w:val="32"/>
        </w:rPr>
        <w:t>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1167.3</w:t>
      </w:r>
      <w:r>
        <w:rPr>
          <w:rFonts w:hint="eastAsia" w:asciiTheme="minorEastAsia" w:hAnsiTheme="minorEastAsia" w:eastAsiaTheme="minorEastAsia"/>
          <w:sz w:val="32"/>
          <w:szCs w:val="32"/>
        </w:rPr>
        <w:t>万元，减少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19.85</w:t>
      </w:r>
      <w:r>
        <w:rPr>
          <w:rFonts w:hint="eastAsia" w:asciiTheme="minorEastAsia" w:hAnsiTheme="minorEastAsia" w:eastAsiaTheme="minorEastAsia"/>
          <w:sz w:val="32"/>
          <w:szCs w:val="32"/>
        </w:rPr>
        <w:t>%，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主要原因为响应党中央历行节约号召压缩办公经费、本年度基础建设投入与上年相比有所减少所致。</w:t>
      </w:r>
    </w:p>
    <w:p>
      <w:pPr>
        <w:pStyle w:val="10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二、收入决算情况说明</w:t>
      </w:r>
    </w:p>
    <w:p>
      <w:pPr>
        <w:pStyle w:val="10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2021年度收入合计4629.61万元，其中：财政拨款收入3559.48万元，占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76.89</w:t>
      </w:r>
      <w:r>
        <w:rPr>
          <w:rFonts w:hint="eastAsia" w:asciiTheme="minorEastAsia" w:hAnsiTheme="minorEastAsia" w:eastAsiaTheme="minorEastAsia"/>
          <w:sz w:val="32"/>
          <w:szCs w:val="32"/>
        </w:rPr>
        <w:t>%；上级补助收入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%；事业收入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%；经营收入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%；附属单位上缴收入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%；其他收入1070.13万元，占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23.11</w:t>
      </w:r>
      <w:r>
        <w:rPr>
          <w:rFonts w:hint="eastAsia" w:asciiTheme="minorEastAsia" w:hAnsiTheme="minorEastAsia" w:eastAsiaTheme="minorEastAsia"/>
          <w:sz w:val="32"/>
          <w:szCs w:val="32"/>
        </w:rPr>
        <w:t>%。</w:t>
      </w:r>
    </w:p>
    <w:p>
      <w:pPr>
        <w:pStyle w:val="10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三、支出决算情况说明</w:t>
      </w:r>
    </w:p>
    <w:p>
      <w:pPr>
        <w:pStyle w:val="10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2021年度支出合计4712万元，其中：基本支出1781.79万元，占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37.81</w:t>
      </w:r>
      <w:r>
        <w:rPr>
          <w:rFonts w:hint="eastAsia" w:asciiTheme="minorEastAsia" w:hAnsiTheme="minorEastAsia" w:eastAsiaTheme="minorEastAsia"/>
          <w:sz w:val="32"/>
          <w:szCs w:val="32"/>
        </w:rPr>
        <w:t>%；项目支出2930.21万元，占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62.19</w:t>
      </w:r>
      <w:r>
        <w:rPr>
          <w:rFonts w:hint="eastAsia" w:asciiTheme="minorEastAsia" w:hAnsiTheme="minorEastAsia" w:eastAsiaTheme="minorEastAsia"/>
          <w:sz w:val="32"/>
          <w:szCs w:val="32"/>
        </w:rPr>
        <w:t>%；上缴上级支出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%；经营支出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%；对附属单位补助支出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%。</w:t>
      </w:r>
    </w:p>
    <w:p>
      <w:pPr>
        <w:pStyle w:val="10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四、财政拨款收入支出决算总体情况说明</w:t>
      </w:r>
    </w:p>
    <w:p>
      <w:pPr>
        <w:pStyle w:val="10"/>
        <w:ind w:firstLine="640" w:firstLineChars="200"/>
        <w:rPr>
          <w:rFonts w:hint="eastAsia" w:ascii="宋体" w:hAnsi="宋体" w:eastAsia="宋体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 xml:space="preserve"> 2021年度财政拨款收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入为</w:t>
      </w:r>
      <w:r>
        <w:rPr>
          <w:rFonts w:hint="eastAsia" w:asciiTheme="minorEastAsia" w:hAnsiTheme="minorEastAsia" w:eastAsiaTheme="minorEastAsia"/>
          <w:sz w:val="32"/>
          <w:szCs w:val="32"/>
        </w:rPr>
        <w:t>3641.87万元、支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出</w:t>
      </w:r>
      <w:r>
        <w:rPr>
          <w:rFonts w:hint="eastAsia" w:asciiTheme="minorEastAsia" w:hAnsiTheme="minorEastAsia" w:eastAsiaTheme="minorEastAsia"/>
          <w:sz w:val="32"/>
          <w:szCs w:val="32"/>
        </w:rPr>
        <w:t>3641.87万元，与上年相比，增加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469.97</w:t>
      </w:r>
      <w:r>
        <w:rPr>
          <w:rFonts w:hint="eastAsia" w:asciiTheme="minorEastAsia" w:hAnsiTheme="minorEastAsia" w:eastAsiaTheme="minorEastAsia"/>
          <w:sz w:val="32"/>
          <w:szCs w:val="32"/>
        </w:rPr>
        <w:t>万元,增长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14.82%</w:t>
      </w:r>
      <w:r>
        <w:rPr>
          <w:rFonts w:hint="eastAsia" w:asciiTheme="minorEastAsia" w:hAnsiTheme="minorEastAsia" w:eastAsiaTheme="minorEastAsia"/>
          <w:sz w:val="32"/>
          <w:szCs w:val="32"/>
        </w:rPr>
        <w:t>，</w:t>
      </w:r>
      <w:r>
        <w:rPr>
          <w:rFonts w:hint="eastAsia" w:ascii="宋体" w:hAnsi="宋体" w:eastAsia="宋体"/>
          <w:sz w:val="32"/>
          <w:szCs w:val="32"/>
        </w:rPr>
        <w:t>主要原因是</w:t>
      </w:r>
    </w:p>
    <w:p>
      <w:pPr>
        <w:pStyle w:val="10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五、一般公共预算财政拨款支出决算情况说明</w:t>
      </w:r>
    </w:p>
    <w:p>
      <w:pPr>
        <w:pStyle w:val="10"/>
        <w:ind w:firstLine="640" w:firstLineChars="20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（一）财政拨款支出决算总体情况</w:t>
      </w:r>
    </w:p>
    <w:p>
      <w:pPr>
        <w:pStyle w:val="10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2021年度财政拨款支出3641.87万元，占本年支出合计的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77.29</w:t>
      </w:r>
      <w:r>
        <w:rPr>
          <w:rFonts w:hint="eastAsia" w:asciiTheme="minorEastAsia" w:hAnsiTheme="minorEastAsia" w:eastAsiaTheme="minorEastAsia"/>
          <w:sz w:val="32"/>
          <w:szCs w:val="32"/>
        </w:rPr>
        <w:t>%，与上年相比，财政拨款支出增加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569.56</w:t>
      </w:r>
      <w:r>
        <w:rPr>
          <w:rFonts w:hint="eastAsia" w:asciiTheme="minorEastAsia" w:hAnsiTheme="minorEastAsia" w:eastAsiaTheme="minorEastAsia"/>
          <w:sz w:val="32"/>
          <w:szCs w:val="32"/>
        </w:rPr>
        <w:t>万元，增长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18.54</w:t>
      </w:r>
      <w:r>
        <w:rPr>
          <w:rFonts w:hint="eastAsia" w:asciiTheme="minorEastAsia" w:hAnsiTheme="minorEastAsia" w:eastAsiaTheme="minorEastAsia"/>
          <w:sz w:val="32"/>
          <w:szCs w:val="32"/>
        </w:rPr>
        <w:t>%，主要是因为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办案需求增加费用、支付以往工程项目和信息化工程费用、人员异动调整。</w:t>
      </w:r>
    </w:p>
    <w:p>
      <w:pPr>
        <w:pStyle w:val="10"/>
        <w:ind w:firstLine="480" w:firstLineChars="15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（二）财政拨款支出决算结构情况</w:t>
      </w:r>
    </w:p>
    <w:p>
      <w:pPr>
        <w:pStyle w:val="10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2021年度财政拨款支出3641.87万元，主要用于以下方面：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公共安全（公安）</w:t>
      </w:r>
      <w:r>
        <w:rPr>
          <w:rFonts w:hint="eastAsia" w:asciiTheme="minorEastAsia" w:hAnsiTheme="minorEastAsia" w:eastAsiaTheme="minorEastAsia"/>
          <w:sz w:val="32"/>
          <w:szCs w:val="32"/>
        </w:rPr>
        <w:t>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3340.57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91.73</w:t>
      </w:r>
      <w:r>
        <w:rPr>
          <w:rFonts w:hint="eastAsia" w:asciiTheme="minorEastAsia" w:hAnsiTheme="minorEastAsia" w:eastAsiaTheme="minorEastAsia"/>
          <w:sz w:val="32"/>
          <w:szCs w:val="32"/>
        </w:rPr>
        <w:t>%；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社会保障和就业支出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177.61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4.88%；卫生健康支出73.26万元，占2.01%；其他支出50.43万元，占1.38%。</w:t>
      </w:r>
    </w:p>
    <w:p>
      <w:pPr>
        <w:pStyle w:val="10"/>
        <w:ind w:firstLine="800" w:firstLineChars="25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（三）财政拨款支出决算具体情况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2021年度财政拨款支出年初预算数为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2298.22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万元，支出决算数为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3641.87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万元，完成年初预算的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158.46</w:t>
      </w:r>
      <w:r>
        <w:rPr>
          <w:rFonts w:hint="eastAsia" w:asciiTheme="minorEastAsia" w:hAnsiTheme="minorEastAsia" w:eastAsiaTheme="minorEastAsia"/>
          <w:sz w:val="32"/>
          <w:szCs w:val="32"/>
        </w:rPr>
        <w:t>%，其中：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1、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公安安全</w:t>
      </w:r>
      <w:r>
        <w:rPr>
          <w:rFonts w:hint="eastAsia" w:asciiTheme="minorEastAsia" w:hAnsiTheme="minorEastAsia" w:eastAsiaTheme="minorEastAsia"/>
          <w:sz w:val="32"/>
          <w:szCs w:val="32"/>
        </w:rPr>
        <w:t>（类）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公安</w:t>
      </w:r>
      <w:r>
        <w:rPr>
          <w:rFonts w:hint="eastAsia" w:asciiTheme="minorEastAsia" w:hAnsiTheme="minorEastAsia" w:eastAsiaTheme="minorEastAsia"/>
          <w:sz w:val="32"/>
          <w:szCs w:val="32"/>
        </w:rPr>
        <w:t>（款）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行政运行</w:t>
      </w:r>
      <w:r>
        <w:rPr>
          <w:rFonts w:hint="eastAsia" w:asciiTheme="minorEastAsia" w:hAnsiTheme="minorEastAsia" w:eastAsiaTheme="minorEastAsia"/>
          <w:sz w:val="32"/>
          <w:szCs w:val="32"/>
        </w:rPr>
        <w:t>（项）。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1310.42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万元，支出决算为1527.2万元，完成年初预算的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116.54</w:t>
      </w:r>
      <w:r>
        <w:rPr>
          <w:rFonts w:hint="eastAsia" w:asciiTheme="minorEastAsia" w:hAnsiTheme="minorEastAsia" w:eastAsiaTheme="minorEastAsia"/>
          <w:sz w:val="32"/>
          <w:szCs w:val="32"/>
        </w:rPr>
        <w:t>%，决算数大于年初预算数的主要原因是：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人员异动调整。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2、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公安安全</w:t>
      </w:r>
      <w:r>
        <w:rPr>
          <w:rFonts w:hint="eastAsia" w:asciiTheme="minorEastAsia" w:hAnsiTheme="minorEastAsia" w:eastAsiaTheme="minorEastAsia"/>
          <w:sz w:val="32"/>
          <w:szCs w:val="32"/>
        </w:rPr>
        <w:t>（类）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公安</w:t>
      </w:r>
      <w:r>
        <w:rPr>
          <w:rFonts w:hint="eastAsia" w:asciiTheme="minorEastAsia" w:hAnsiTheme="minorEastAsia" w:eastAsiaTheme="minorEastAsia"/>
          <w:sz w:val="32"/>
          <w:szCs w:val="32"/>
        </w:rPr>
        <w:t>（款）一般行政管理事务（项）。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526.04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万元，支出决算为1757.65元，完成年初预算的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334.13</w:t>
      </w:r>
      <w:r>
        <w:rPr>
          <w:rFonts w:hint="eastAsia" w:asciiTheme="minorEastAsia" w:hAnsiTheme="minorEastAsia" w:eastAsiaTheme="minorEastAsia"/>
          <w:sz w:val="32"/>
          <w:szCs w:val="32"/>
        </w:rPr>
        <w:t>%，决算数大于年初预算数的主要原因是：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本年度根据实际办案费用增加、专用设备采购和新拘留所执法办案中心设配购置。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公安安全</w:t>
      </w:r>
      <w:r>
        <w:rPr>
          <w:rFonts w:hint="eastAsia" w:asciiTheme="minorEastAsia" w:hAnsiTheme="minorEastAsia" w:eastAsiaTheme="minorEastAsia"/>
          <w:sz w:val="32"/>
          <w:szCs w:val="32"/>
        </w:rPr>
        <w:t>（类）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公安</w:t>
      </w:r>
      <w:r>
        <w:rPr>
          <w:rFonts w:hint="eastAsia" w:asciiTheme="minorEastAsia" w:hAnsiTheme="minorEastAsia" w:eastAsiaTheme="minorEastAsia"/>
          <w:sz w:val="32"/>
          <w:szCs w:val="32"/>
        </w:rPr>
        <w:t>（款）执法办案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（项）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支出决算为3.72元，年初预算为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 xml:space="preserve"> 0</w:t>
      </w:r>
      <w:r>
        <w:rPr>
          <w:rFonts w:hint="eastAsia" w:asciiTheme="minorEastAsia" w:hAnsiTheme="minorEastAsia" w:eastAsiaTheme="minorEastAsia"/>
          <w:sz w:val="32"/>
          <w:szCs w:val="32"/>
        </w:rPr>
        <w:t>万元，决算数大于年初预算数的主要原因是：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办案执法费用增加。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left="0" w:leftChars="0" w:firstLine="640" w:firstLineChars="200"/>
        <w:textAlignment w:val="auto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公安安全</w:t>
      </w:r>
      <w:r>
        <w:rPr>
          <w:rFonts w:hint="eastAsia" w:asciiTheme="minorEastAsia" w:hAnsiTheme="minorEastAsia" w:eastAsiaTheme="minorEastAsia"/>
          <w:sz w:val="32"/>
          <w:szCs w:val="32"/>
        </w:rPr>
        <w:t>（类）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公安</w:t>
      </w:r>
      <w:r>
        <w:rPr>
          <w:rFonts w:hint="eastAsia" w:asciiTheme="minorEastAsia" w:hAnsiTheme="minorEastAsia" w:eastAsiaTheme="minorEastAsia"/>
          <w:sz w:val="32"/>
          <w:szCs w:val="32"/>
        </w:rPr>
        <w:t>（款）其他公安支出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（项）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leftChars="200" w:firstLine="320" w:firstLineChars="100"/>
        <w:textAlignment w:val="auto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52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52</w:t>
      </w:r>
      <w:r>
        <w:rPr>
          <w:rFonts w:hint="eastAsia" w:asciiTheme="minorEastAsia" w:hAnsiTheme="minorEastAsia" w:eastAsiaTheme="minorEastAsia"/>
          <w:sz w:val="32"/>
          <w:szCs w:val="32"/>
        </w:rPr>
        <w:t>元，完成年初预算的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100</w:t>
      </w:r>
      <w:r>
        <w:rPr>
          <w:rFonts w:hint="eastAsia" w:asciiTheme="minorEastAsia" w:hAnsiTheme="minorEastAsia" w:eastAsiaTheme="minorEastAsia"/>
          <w:sz w:val="32"/>
          <w:szCs w:val="32"/>
        </w:rPr>
        <w:t>%，决算数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等于</w:t>
      </w:r>
      <w:r>
        <w:rPr>
          <w:rFonts w:hint="eastAsia" w:asciiTheme="minorEastAsia" w:hAnsiTheme="minorEastAsia" w:eastAsiaTheme="minorEastAsia"/>
          <w:sz w:val="32"/>
          <w:szCs w:val="32"/>
        </w:rPr>
        <w:t>年初预算数的主要原因是：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支出按年初预算精准落实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left="0" w:leftChars="0" w:firstLine="640" w:firstLineChars="200"/>
        <w:textAlignment w:val="auto"/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社会保障和就业支出（类）行政事业单位养老支出（款）机关事业单位基本养老保险缴费支出（项）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leftChars="200" w:firstLine="320" w:firstLineChars="100"/>
        <w:textAlignment w:val="auto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161.17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161.17</w:t>
      </w:r>
      <w:r>
        <w:rPr>
          <w:rFonts w:hint="eastAsia" w:asciiTheme="minorEastAsia" w:hAnsiTheme="minorEastAsia" w:eastAsiaTheme="minorEastAsia"/>
          <w:sz w:val="32"/>
          <w:szCs w:val="32"/>
        </w:rPr>
        <w:t>元，完成年初预算的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100</w:t>
      </w:r>
      <w:r>
        <w:rPr>
          <w:rFonts w:hint="eastAsia" w:asciiTheme="minorEastAsia" w:hAnsiTheme="minorEastAsia" w:eastAsiaTheme="minorEastAsia"/>
          <w:sz w:val="32"/>
          <w:szCs w:val="32"/>
        </w:rPr>
        <w:t>%，决算数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等于</w:t>
      </w:r>
      <w:r>
        <w:rPr>
          <w:rFonts w:hint="eastAsia" w:asciiTheme="minorEastAsia" w:hAnsiTheme="minorEastAsia" w:eastAsiaTheme="minorEastAsia"/>
          <w:sz w:val="32"/>
          <w:szCs w:val="32"/>
        </w:rPr>
        <w:t>年初预算数的主要原因是：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支出按年初预算精准落实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10"/>
        <w:numPr>
          <w:ilvl w:val="0"/>
          <w:numId w:val="0"/>
        </w:numPr>
        <w:ind w:firstLine="640" w:firstLineChars="200"/>
        <w:rPr>
          <w:rFonts w:hint="default" w:asciiTheme="minorEastAsia" w:hAnsiTheme="minorEastAsia" w:eastAsia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6、社会保障和就业支出（类）抚恤（款）其他优抚支出（项）</w:t>
      </w:r>
    </w:p>
    <w:p>
      <w:pPr>
        <w:pStyle w:val="10"/>
        <w:numPr>
          <w:ilvl w:val="0"/>
          <w:numId w:val="0"/>
        </w:numPr>
        <w:ind w:firstLine="640" w:firstLineChars="200"/>
        <w:rPr>
          <w:rFonts w:hint="eastAsia" w:asciiTheme="minorEastAsia" w:hAnsiTheme="minorEastAsia" w:eastAsiaTheme="minorEastAsia"/>
          <w:color w:val="00B050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支出决算为3.31万元，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年初预算安排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0万元，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决算数大于年初预算数的主要原因是：抚恤金支出</w:t>
      </w:r>
      <w:r>
        <w:rPr>
          <w:rFonts w:hint="eastAsia" w:asciiTheme="minorEastAsia" w:hAnsiTheme="minorEastAsia" w:eastAsiaTheme="minorEastAsia"/>
          <w:color w:val="00B050"/>
          <w:sz w:val="32"/>
          <w:szCs w:val="32"/>
          <w:lang w:eastAsia="zh-CN"/>
        </w:rPr>
        <w:t>。</w:t>
      </w:r>
    </w:p>
    <w:p>
      <w:pPr>
        <w:pStyle w:val="10"/>
        <w:numPr>
          <w:ilvl w:val="0"/>
          <w:numId w:val="0"/>
        </w:numPr>
        <w:ind w:firstLine="640" w:firstLineChars="200"/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7、社会保障和就业支出（类）残疾人事业（款）其他残疾人事业支出（项）</w:t>
      </w:r>
    </w:p>
    <w:p>
      <w:pPr>
        <w:pStyle w:val="10"/>
        <w:numPr>
          <w:ilvl w:val="0"/>
          <w:numId w:val="0"/>
        </w:numPr>
        <w:ind w:firstLine="640" w:firstLineChars="200"/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年初预算为13.13万元，支出决算为13.13万元，完成年初预算的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100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%，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决算数等于年初预算数的主要原因是：拨残联残疾人就业保障金。</w:t>
      </w:r>
    </w:p>
    <w:p>
      <w:pPr>
        <w:pStyle w:val="10"/>
        <w:numPr>
          <w:ilvl w:val="0"/>
          <w:numId w:val="0"/>
        </w:numPr>
        <w:ind w:firstLine="640" w:firstLineChars="200"/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8、卫生健康支出（类）行政事业单位医疗（款）行政单位医疗（项）</w:t>
      </w:r>
    </w:p>
    <w:p>
      <w:pPr>
        <w:pStyle w:val="10"/>
        <w:numPr>
          <w:ilvl w:val="0"/>
          <w:numId w:val="0"/>
        </w:numPr>
        <w:ind w:firstLine="640" w:firstLineChars="200"/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年初预算为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74.3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万元，支出决算为7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3.26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完成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年初预算的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98.6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%，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决算数小于年初预算数的主要原因是：人员异动调整。</w:t>
      </w:r>
    </w:p>
    <w:p>
      <w:pPr>
        <w:pStyle w:val="10"/>
        <w:numPr>
          <w:ilvl w:val="0"/>
          <w:numId w:val="0"/>
        </w:numPr>
        <w:ind w:firstLine="640" w:firstLineChars="200"/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9、其他支出（类）其他支出（款）其他支出（项）</w:t>
      </w:r>
    </w:p>
    <w:p>
      <w:pPr>
        <w:pStyle w:val="10"/>
        <w:numPr>
          <w:ilvl w:val="0"/>
          <w:numId w:val="0"/>
        </w:numPr>
        <w:ind w:firstLine="640" w:firstLineChars="200"/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支出决算为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1120.56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万元，年初预算为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决算数大于年初预算数的主要原因是：发放辅警、工勤人员工资、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支付以往年度工程款和信息化工程款费用。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pStyle w:val="10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六、一般公共预算财政拨款基本支出决算情况说明</w:t>
      </w:r>
    </w:p>
    <w:p>
      <w:pPr>
        <w:pStyle w:val="10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2021年度财政拨款基本支出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1781.79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万元，其中：人员经费895.74万元，占基本支出的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50.27</w:t>
      </w:r>
      <w:r>
        <w:rPr>
          <w:rFonts w:hint="eastAsia" w:asciiTheme="minorEastAsia" w:hAnsiTheme="minorEastAsia" w:eastAsiaTheme="minorEastAsia"/>
          <w:sz w:val="32"/>
          <w:szCs w:val="32"/>
        </w:rPr>
        <w:t>%,主要包括主要包括基本工资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、</w:t>
      </w:r>
      <w:r>
        <w:rPr>
          <w:rFonts w:hint="eastAsia" w:asciiTheme="minorEastAsia" w:hAnsiTheme="minorEastAsia" w:eastAsiaTheme="minorEastAsia"/>
          <w:sz w:val="32"/>
          <w:szCs w:val="32"/>
          <w:lang w:val="zh-CN"/>
        </w:rPr>
        <w:t>伙食补助费、机关事业单位基本养老保险缴费、职工基本医疗保险缴费、退休费、生活补助、奖励金、其他对个人和家庭的补助</w:t>
      </w:r>
      <w:r>
        <w:rPr>
          <w:rFonts w:hint="eastAsia" w:asciiTheme="minorEastAsia" w:hAnsiTheme="minorEastAsia" w:eastAsiaTheme="minorEastAsia"/>
          <w:sz w:val="32"/>
          <w:szCs w:val="32"/>
        </w:rPr>
        <w:t>；公用经费886.05万元，占基本支出的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49.73</w:t>
      </w:r>
      <w:r>
        <w:rPr>
          <w:rFonts w:hint="eastAsia" w:asciiTheme="minorEastAsia" w:hAnsiTheme="minorEastAsia" w:eastAsiaTheme="minorEastAsia"/>
          <w:sz w:val="32"/>
          <w:szCs w:val="32"/>
        </w:rPr>
        <w:t>%，主要包括办公费、手续费、水费、电费、邮电费、物业管理费、差旅费、维修（护）费、租赁费、培训费、公务接待费、专用材料费、工会经费、福公务用车运行维护费、其他交通费用、其他商品和服务支出。</w:t>
      </w:r>
    </w:p>
    <w:p>
      <w:pPr>
        <w:pStyle w:val="10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七、一般公共预算财政拨款“三公”经费支出决算情况说明</w:t>
      </w:r>
    </w:p>
    <w:p>
      <w:pPr>
        <w:pStyle w:val="1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（一）“三公”经费财政拨款支出决算总体情况说明</w:t>
      </w:r>
    </w:p>
    <w:p>
      <w:pPr>
        <w:pStyle w:val="10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2021年度“三公”经费财政拨款支出预算为51.36万元，支出决算为51.36万元，完成预算的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100</w:t>
      </w:r>
      <w:r>
        <w:rPr>
          <w:rFonts w:hint="eastAsia" w:asciiTheme="minorEastAsia" w:hAnsiTheme="minorEastAsia" w:eastAsiaTheme="minorEastAsia"/>
          <w:sz w:val="32"/>
          <w:szCs w:val="32"/>
        </w:rPr>
        <w:t>%，其中：</w:t>
      </w:r>
    </w:p>
    <w:p>
      <w:pPr>
        <w:pStyle w:val="10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因公出国（境）费支出预算为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%，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岳阳市公安局君山分局</w:t>
      </w:r>
      <w:r>
        <w:rPr>
          <w:rFonts w:hint="eastAsia" w:asciiTheme="minorEastAsia" w:hAnsiTheme="minorEastAsia" w:eastAsiaTheme="minorEastAsia"/>
          <w:sz w:val="32"/>
          <w:szCs w:val="32"/>
        </w:rPr>
        <w:t xml:space="preserve"> 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202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年度无因公出国（境）费安排，与上年相同。</w:t>
      </w:r>
    </w:p>
    <w:p>
      <w:pPr>
        <w:pStyle w:val="10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公务接待费支出预算为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0.2</w:t>
      </w:r>
      <w:r>
        <w:rPr>
          <w:rFonts w:hint="eastAsia" w:asciiTheme="minorEastAsia" w:hAnsiTheme="minorEastAsia" w:eastAsiaTheme="minorEastAsia"/>
          <w:sz w:val="32"/>
          <w:szCs w:val="32"/>
        </w:rPr>
        <w:t>元，支出决算为0.2元，完成预算的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100</w:t>
      </w:r>
      <w:r>
        <w:rPr>
          <w:rFonts w:hint="eastAsia" w:asciiTheme="minorEastAsia" w:hAnsiTheme="minorEastAsia" w:eastAsiaTheme="minorEastAsia"/>
          <w:sz w:val="32"/>
          <w:szCs w:val="32"/>
        </w:rPr>
        <w:t>%，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决算数等于年初预算数的主要原因是：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厉行节约</w:t>
      </w:r>
      <w:r>
        <w:rPr>
          <w:rFonts w:hint="eastAsia" w:asciiTheme="minorEastAsia" w:hAnsiTheme="minorEastAsia" w:eastAsiaTheme="minorEastAsia"/>
          <w:sz w:val="32"/>
          <w:szCs w:val="32"/>
        </w:rPr>
        <w:t>，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压减开支</w:t>
      </w:r>
      <w:r>
        <w:rPr>
          <w:rFonts w:hint="eastAsia" w:asciiTheme="minorEastAsia" w:hAnsiTheme="minorEastAsia" w:eastAsiaTheme="minorEastAsia"/>
          <w:sz w:val="32"/>
          <w:szCs w:val="32"/>
        </w:rPr>
        <w:t>。</w:t>
      </w:r>
    </w:p>
    <w:p>
      <w:pPr>
        <w:pStyle w:val="10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公务用车购置费支出预算为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%，与上年相比减少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10.9</w:t>
      </w:r>
      <w:r>
        <w:rPr>
          <w:rFonts w:hint="eastAsia" w:asciiTheme="minorEastAsia" w:hAnsiTheme="minorEastAsia" w:eastAsiaTheme="minorEastAsia"/>
          <w:sz w:val="32"/>
          <w:szCs w:val="32"/>
        </w:rPr>
        <w:t>万元，减少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100</w:t>
      </w:r>
      <w:r>
        <w:rPr>
          <w:rFonts w:hint="eastAsia" w:asciiTheme="minorEastAsia" w:hAnsiTheme="minorEastAsia" w:eastAsiaTheme="minorEastAsia"/>
          <w:sz w:val="32"/>
          <w:szCs w:val="32"/>
        </w:rPr>
        <w:t>%,减少的主要原因是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岳阳市公安局君山分局202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年度无公务用车购置费安排</w:t>
      </w:r>
      <w:r>
        <w:rPr>
          <w:rFonts w:hint="eastAsia" w:asciiTheme="minorEastAsia" w:hAnsiTheme="minorEastAsia" w:eastAsiaTheme="minorEastAsia"/>
          <w:sz w:val="32"/>
          <w:szCs w:val="32"/>
        </w:rPr>
        <w:t>。</w:t>
      </w:r>
    </w:p>
    <w:p>
      <w:pPr>
        <w:pStyle w:val="10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公务用车运行维护费支出预算为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51.16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万元，支出决算为51.16万元，完成预算的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100</w:t>
      </w:r>
      <w:r>
        <w:rPr>
          <w:rFonts w:hint="eastAsia" w:asciiTheme="minorEastAsia" w:hAnsiTheme="minorEastAsia" w:eastAsiaTheme="minorEastAsia"/>
          <w:sz w:val="32"/>
          <w:szCs w:val="32"/>
        </w:rPr>
        <w:t>%，与上年相比减少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19.51</w:t>
      </w:r>
      <w:r>
        <w:rPr>
          <w:rFonts w:hint="eastAsia" w:asciiTheme="minorEastAsia" w:hAnsiTheme="minorEastAsia" w:eastAsiaTheme="minorEastAsia"/>
          <w:sz w:val="32"/>
          <w:szCs w:val="32"/>
        </w:rPr>
        <w:t>万元，减少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27.61</w:t>
      </w:r>
      <w:r>
        <w:rPr>
          <w:rFonts w:hint="eastAsia" w:asciiTheme="minorEastAsia" w:hAnsiTheme="minorEastAsia" w:eastAsiaTheme="minorEastAsia"/>
          <w:sz w:val="32"/>
          <w:szCs w:val="32"/>
        </w:rPr>
        <w:t>%,减少的主要原因是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：厉行节约</w:t>
      </w:r>
      <w:r>
        <w:rPr>
          <w:rFonts w:hint="eastAsia" w:asciiTheme="minorEastAsia" w:hAnsiTheme="minorEastAsia" w:eastAsiaTheme="minorEastAsia"/>
          <w:sz w:val="32"/>
          <w:szCs w:val="32"/>
        </w:rPr>
        <w:t>，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压减开支</w:t>
      </w:r>
      <w:r>
        <w:rPr>
          <w:rFonts w:hint="eastAsia" w:asciiTheme="minorEastAsia" w:hAnsiTheme="minorEastAsia" w:eastAsiaTheme="minorEastAsia"/>
          <w:sz w:val="32"/>
          <w:szCs w:val="32"/>
        </w:rPr>
        <w:t>。</w:t>
      </w:r>
    </w:p>
    <w:p>
      <w:pPr>
        <w:pStyle w:val="1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（二）“三公”经费财政拨款支出决算具体情况说明</w:t>
      </w:r>
    </w:p>
    <w:p>
      <w:pPr>
        <w:pStyle w:val="10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2021年度“三公”经费财政拨款支出决算中，公务接待费支出决算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0.2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0.39</w:t>
      </w:r>
      <w:r>
        <w:rPr>
          <w:rFonts w:hint="eastAsia" w:asciiTheme="minorEastAsia" w:hAnsiTheme="minorEastAsia" w:eastAsiaTheme="minorEastAsia"/>
          <w:sz w:val="32"/>
          <w:szCs w:val="32"/>
        </w:rPr>
        <w:t>%,因公出国（境）费支出决算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%,公务用车购置费及运行维护费支出决算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51.16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99.61</w:t>
      </w:r>
      <w:r>
        <w:rPr>
          <w:rFonts w:hint="eastAsia" w:asciiTheme="minorEastAsia" w:hAnsiTheme="minorEastAsia" w:eastAsiaTheme="minorEastAsia"/>
          <w:sz w:val="32"/>
          <w:szCs w:val="32"/>
        </w:rPr>
        <w:t>%。其中：</w:t>
      </w:r>
    </w:p>
    <w:p>
      <w:pPr>
        <w:pStyle w:val="10"/>
        <w:ind w:firstLine="640" w:firstLineChars="200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1、因公出国（境）费支出决算为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万元，全年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未</w:t>
      </w:r>
      <w:r>
        <w:rPr>
          <w:rFonts w:hint="eastAsia" w:asciiTheme="minorEastAsia" w:hAnsiTheme="minorEastAsia" w:eastAsiaTheme="minorEastAsia"/>
          <w:sz w:val="32"/>
          <w:szCs w:val="32"/>
        </w:rPr>
        <w:t>安排因公出国（境）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</w:p>
    <w:p>
      <w:pPr>
        <w:pStyle w:val="10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2、公务接待费支出决算为0.2万元，全年共接待来访团组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 w:eastAsiaTheme="minorEastAsia"/>
          <w:sz w:val="32"/>
          <w:szCs w:val="32"/>
        </w:rPr>
        <w:t>个、来宾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11</w:t>
      </w:r>
      <w:r>
        <w:rPr>
          <w:rFonts w:hint="eastAsia" w:asciiTheme="minorEastAsia" w:hAnsiTheme="minorEastAsia" w:eastAsiaTheme="minorEastAsia"/>
          <w:sz w:val="32"/>
          <w:szCs w:val="32"/>
        </w:rPr>
        <w:t>人次，主要是主要是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上级检查，外单位交流发生</w:t>
      </w:r>
      <w:r>
        <w:rPr>
          <w:rFonts w:hint="eastAsia" w:asciiTheme="minorEastAsia" w:hAnsiTheme="minorEastAsia" w:eastAsiaTheme="minorEastAsia"/>
          <w:sz w:val="32"/>
          <w:szCs w:val="32"/>
        </w:rPr>
        <w:t>的接待支出。</w:t>
      </w:r>
    </w:p>
    <w:p>
      <w:pPr>
        <w:ind w:firstLine="800" w:firstLineChars="250"/>
        <w:rPr>
          <w:rFonts w:cs="黑体" w:asciiTheme="minorEastAsia" w:hAnsiTheme="minorEastAsia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3、公务用车购置费及运行维护费支出决算为51.16万元，其中：公务用车购置费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/>
          <w:sz w:val="32"/>
          <w:szCs w:val="32"/>
        </w:rPr>
        <w:t>万元</w:t>
      </w:r>
      <w:r>
        <w:rPr>
          <w:rFonts w:hint="eastAsia" w:asciiTheme="minorEastAsia" w:hAnsi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/>
          <w:sz w:val="32"/>
          <w:szCs w:val="32"/>
        </w:rPr>
        <w:t>公务用车运行维护费51.16万元，主要是</w:t>
      </w:r>
      <w:r>
        <w:rPr>
          <w:rFonts w:hint="eastAsia" w:asciiTheme="minorEastAsia" w:hAnsiTheme="minorEastAsia"/>
          <w:sz w:val="32"/>
          <w:szCs w:val="32"/>
          <w:lang w:eastAsia="zh-CN"/>
        </w:rPr>
        <w:t>公务用车燃料、车辆维修维护等费用</w:t>
      </w:r>
      <w:r>
        <w:rPr>
          <w:rFonts w:hint="eastAsia" w:asciiTheme="minorEastAsia" w:hAnsiTheme="minorEastAsia"/>
          <w:sz w:val="32"/>
          <w:szCs w:val="32"/>
        </w:rPr>
        <w:t>支出，截止2021年12月31日，我单位开支财政拨款的公务用车保有量为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23</w:t>
      </w:r>
      <w:r>
        <w:rPr>
          <w:rFonts w:hint="eastAsia" w:asciiTheme="minorEastAsia" w:hAnsiTheme="minorEastAsia"/>
          <w:sz w:val="32"/>
          <w:szCs w:val="32"/>
        </w:rPr>
        <w:t>辆。</w:t>
      </w:r>
    </w:p>
    <w:p>
      <w:pPr>
        <w:pStyle w:val="10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八、政府性基金预算收入支出决算情况</w:t>
      </w:r>
    </w:p>
    <w:p>
      <w:pPr>
        <w:pStyle w:val="10"/>
        <w:ind w:firstLine="640"/>
        <w:rPr>
          <w:rFonts w:hint="eastAsia" w:asciiTheme="minorEastAsia" w:hAnsiTheme="minorEastAsia" w:eastAsiaTheme="minorEastAsia"/>
          <w:b w:val="0"/>
          <w:bCs w:val="0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岳阳市公安局君山分局</w:t>
      </w:r>
      <w:r>
        <w:rPr>
          <w:rFonts w:hint="eastAsia" w:asciiTheme="minorEastAsia" w:hAnsiTheme="minorEastAsia" w:eastAsiaTheme="minorEastAsia"/>
          <w:sz w:val="32"/>
          <w:szCs w:val="32"/>
        </w:rPr>
        <w:t xml:space="preserve"> 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202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年度</w:t>
      </w:r>
      <w:r>
        <w:rPr>
          <w:rFonts w:hint="eastAsia" w:asciiTheme="minorEastAsia" w:hAnsiTheme="minorEastAsia" w:eastAsiaTheme="minorEastAsia"/>
          <w:b w:val="0"/>
          <w:bCs w:val="0"/>
          <w:sz w:val="32"/>
          <w:szCs w:val="32"/>
          <w:lang w:eastAsia="zh-CN"/>
        </w:rPr>
        <w:t>无政府性基金收支</w:t>
      </w:r>
    </w:p>
    <w:p>
      <w:pPr>
        <w:pStyle w:val="10"/>
        <w:numPr>
          <w:ilvl w:val="0"/>
          <w:numId w:val="3"/>
        </w:numPr>
        <w:rPr>
          <w:rFonts w:hint="eastAsia" w:hAnsi="黑体"/>
          <w:b/>
          <w:sz w:val="32"/>
          <w:szCs w:val="32"/>
          <w:lang w:eastAsia="zh-CN"/>
        </w:rPr>
      </w:pPr>
      <w:r>
        <w:rPr>
          <w:rFonts w:hint="eastAsia" w:hAnsi="黑体"/>
          <w:b/>
          <w:sz w:val="32"/>
          <w:szCs w:val="32"/>
        </w:rPr>
        <w:t>国有资本经营预算财政拨款支出决算</w:t>
      </w:r>
      <w:r>
        <w:rPr>
          <w:rFonts w:hint="eastAsia" w:hAnsi="黑体"/>
          <w:b/>
          <w:sz w:val="32"/>
          <w:szCs w:val="32"/>
          <w:lang w:eastAsia="zh-CN"/>
        </w:rPr>
        <w:t>情况</w:t>
      </w:r>
    </w:p>
    <w:p>
      <w:pPr>
        <w:pStyle w:val="10"/>
        <w:ind w:firstLine="64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岳阳市公安局君山分局</w:t>
      </w:r>
      <w:r>
        <w:rPr>
          <w:rFonts w:hint="eastAsia" w:asciiTheme="minorEastAsia" w:hAnsiTheme="minorEastAsia" w:eastAsiaTheme="minorEastAsia"/>
          <w:sz w:val="32"/>
          <w:szCs w:val="32"/>
        </w:rPr>
        <w:t>202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32"/>
          <w:szCs w:val="32"/>
        </w:rPr>
        <w:t>年度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无</w:t>
      </w:r>
      <w:r>
        <w:rPr>
          <w:rFonts w:hint="eastAsia" w:asciiTheme="minorEastAsia" w:hAnsiTheme="minorEastAsia" w:eastAsiaTheme="minorEastAsia"/>
          <w:b w:val="0"/>
          <w:bCs/>
          <w:i w:val="0"/>
          <w:iCs w:val="0"/>
          <w:sz w:val="32"/>
          <w:szCs w:val="32"/>
        </w:rPr>
        <w:t>国有资本经营预算财政拨款支出</w:t>
      </w:r>
    </w:p>
    <w:p>
      <w:pPr>
        <w:pStyle w:val="10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十、机关运行经费支出说明</w:t>
      </w:r>
    </w:p>
    <w:p>
      <w:pPr>
        <w:pStyle w:val="10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本部门2021年度机关运行经费支出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886.05</w:t>
      </w:r>
      <w:r>
        <w:rPr>
          <w:rFonts w:hint="eastAsia" w:asciiTheme="minorEastAsia" w:hAnsiTheme="minorEastAsia" w:eastAsiaTheme="minorEastAsia"/>
          <w:sz w:val="32"/>
          <w:szCs w:val="32"/>
        </w:rPr>
        <w:t>万元，比年初预算数（或者上年决算数）增加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515.16</w:t>
      </w:r>
      <w:r>
        <w:rPr>
          <w:rFonts w:hint="eastAsia" w:asciiTheme="minorEastAsia" w:hAnsiTheme="minorEastAsia" w:eastAsiaTheme="minorEastAsia"/>
          <w:sz w:val="32"/>
          <w:szCs w:val="32"/>
        </w:rPr>
        <w:t>万元，增长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139</w:t>
      </w:r>
      <w:r>
        <w:rPr>
          <w:rFonts w:hint="eastAsia" w:asciiTheme="minorEastAsia" w:hAnsiTheme="minorEastAsia" w:eastAsiaTheme="minorEastAsia"/>
          <w:sz w:val="32"/>
          <w:szCs w:val="32"/>
        </w:rPr>
        <w:t>%。主要原因是：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机关运行经费不足由非税征收返还款弥补。</w:t>
      </w:r>
    </w:p>
    <w:p>
      <w:pPr>
        <w:pStyle w:val="10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十一、一般性支出情况说明</w:t>
      </w:r>
    </w:p>
    <w:p>
      <w:pPr>
        <w:pStyle w:val="10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2021年本部门开支培训费5.31万元，用于开展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新警</w:t>
      </w:r>
      <w:r>
        <w:rPr>
          <w:rFonts w:hint="eastAsia" w:asciiTheme="minorEastAsia" w:hAnsiTheme="minorEastAsia" w:eastAsiaTheme="minorEastAsia"/>
          <w:sz w:val="32"/>
          <w:szCs w:val="32"/>
        </w:rPr>
        <w:t>培训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、人民警察晋衔培训、警察专业技术培训等</w:t>
      </w:r>
      <w:r>
        <w:rPr>
          <w:rFonts w:hint="eastAsia" w:asciiTheme="minorEastAsia" w:hAnsiTheme="minorEastAsia" w:eastAsiaTheme="minorEastAsia"/>
          <w:sz w:val="32"/>
          <w:szCs w:val="32"/>
        </w:rPr>
        <w:t>，人数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56</w:t>
      </w:r>
      <w:r>
        <w:rPr>
          <w:rFonts w:hint="eastAsia" w:asciiTheme="minorEastAsia" w:hAnsiTheme="minorEastAsia" w:eastAsiaTheme="minorEastAsia"/>
          <w:sz w:val="32"/>
          <w:szCs w:val="32"/>
        </w:rPr>
        <w:t>人，内容为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警察职业技能培训、数据分析等</w:t>
      </w:r>
      <w:r>
        <w:rPr>
          <w:rFonts w:hint="eastAsia" w:asciiTheme="minorEastAsia" w:hAnsiTheme="minorEastAsia" w:eastAsiaTheme="minorEastAsia"/>
          <w:sz w:val="32"/>
          <w:szCs w:val="32"/>
        </w:rPr>
        <w:t>；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未举办会议、节庆、晚会、论坛、赛事活动</w:t>
      </w:r>
      <w:r>
        <w:rPr>
          <w:rFonts w:hint="eastAsia" w:asciiTheme="minorEastAsia" w:hAnsiTheme="minorEastAsia" w:eastAsiaTheme="minorEastAsia"/>
          <w:sz w:val="32"/>
          <w:szCs w:val="32"/>
        </w:rPr>
        <w:t>。</w:t>
      </w:r>
    </w:p>
    <w:p>
      <w:pPr>
        <w:pStyle w:val="10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十二、政府采购支出说明</w:t>
      </w:r>
    </w:p>
    <w:p>
      <w:pPr>
        <w:pStyle w:val="10"/>
        <w:ind w:firstLine="640" w:firstLineChars="200"/>
        <w:rPr>
          <w:rFonts w:asciiTheme="minorEastAsia" w:hAnsiTheme="minorEastAsia" w:eastAsiaTheme="minorEastAsia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本部门2021年度政府采购支出总额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2043.7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万元，其中：政府采购货物支出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558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万元、政府采购工程支出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392.59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万元、政府采购服务支出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1090.11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万元。授予中小企业合同金额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1289.55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万元，占政府采购支出总额的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62.95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%，其中：授予小微企业合同金额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754.15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万元，占授予中小企业合同金额的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58.48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%；货物采购授予中小企业合同金额占货物支出金额的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74.91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%，工程采购授予中小企业合同金额占工程支出金额的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75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%，服务采购授予中小企业合同金额占服务支出金额的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47.33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%。</w:t>
      </w:r>
    </w:p>
    <w:p>
      <w:pPr>
        <w:pStyle w:val="10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十三、国有资产占用情况说明</w:t>
      </w:r>
    </w:p>
    <w:p>
      <w:pPr>
        <w:pStyle w:val="10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截至202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32"/>
          <w:szCs w:val="32"/>
        </w:rPr>
        <w:t>年12月31日，本单位共有车辆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23</w:t>
      </w:r>
      <w:r>
        <w:rPr>
          <w:rFonts w:hint="eastAsia" w:asciiTheme="minorEastAsia" w:hAnsiTheme="minorEastAsia" w:eastAsiaTheme="minorEastAsia"/>
          <w:sz w:val="32"/>
          <w:szCs w:val="32"/>
        </w:rPr>
        <w:t>辆，其中，主要领导干部用车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辆，机要通信用车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32"/>
          <w:szCs w:val="32"/>
        </w:rPr>
        <w:t>辆、应急保障用车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32"/>
          <w:szCs w:val="32"/>
        </w:rPr>
        <w:t>辆、执法执勤用车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20</w:t>
      </w:r>
      <w:r>
        <w:rPr>
          <w:rFonts w:hint="eastAsia" w:asciiTheme="minorEastAsia" w:hAnsiTheme="minorEastAsia" w:eastAsiaTheme="minorEastAsia"/>
          <w:sz w:val="32"/>
          <w:szCs w:val="32"/>
        </w:rPr>
        <w:t>辆、特种专业技术用车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辆、其他用车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32"/>
          <w:szCs w:val="32"/>
        </w:rPr>
        <w:t>辆，其他用车主要是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待报废处置用车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1辆</w:t>
      </w:r>
      <w:r>
        <w:rPr>
          <w:rFonts w:hint="eastAsia" w:asciiTheme="minorEastAsia" w:hAnsiTheme="minorEastAsia" w:eastAsiaTheme="minorEastAsia"/>
          <w:sz w:val="32"/>
          <w:szCs w:val="32"/>
        </w:rPr>
        <w:t>；单位价值50万元以上通用设备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台（套）；单位价值100万元以上专用设备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台（套）。</w:t>
      </w:r>
    </w:p>
    <w:p>
      <w:pPr>
        <w:pStyle w:val="10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  <w:lang w:eastAsia="zh-CN"/>
        </w:rPr>
        <w:t>十四、</w:t>
      </w:r>
      <w:r>
        <w:rPr>
          <w:rFonts w:hint="eastAsia" w:hAnsi="黑体"/>
          <w:b/>
          <w:sz w:val="32"/>
          <w:szCs w:val="32"/>
        </w:rPr>
        <w:t>2021年度预算绩效情况说明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</w:rPr>
        <w:t>（1）绩效管理评价工作开展情况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cs="黑体" w:asciiTheme="minorEastAsia" w:hAnsiTheme="minorEastAsia" w:eastAsiaTheme="minorEastAsia"/>
          <w:color w:val="000000"/>
          <w:kern w:val="0"/>
          <w:sz w:val="32"/>
          <w:szCs w:val="32"/>
          <w:lang w:eastAsia="zh-CN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根据预算绩效管理要求，我部门组织对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 xml:space="preserve">2021 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年度一般公共预算项目支出全面开展绩效自评，其中，一般公共预算项目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个，共涉及资金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578.04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万元，组织对“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中央政法转移支付办案费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”项目开展了部门评价，涉及一般公共预算支出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197.4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 xml:space="preserve"> 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万元，政府性基金预算支出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万元，国有资本经营预算支出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万元。从评价情况来看，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绩效目标完成良好。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default" w:cs="黑体" w:asciiTheme="minorEastAsia" w:hAnsiTheme="minorEastAsia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组织开展整体支出绩效评价，涉及一般公共预算支出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2298.22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万元，政府性基金预算支出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万元。从评价情况来看，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整体绩效目标自评得分为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88分，评价等级良好。详见附件2：2021年度部门整体支出绩效评价报告</w:t>
      </w:r>
      <w:bookmarkStart w:id="0" w:name="_GoBack"/>
      <w:bookmarkEnd w:id="0"/>
    </w:p>
    <w:p>
      <w:pPr>
        <w:autoSpaceDE w:val="0"/>
        <w:autoSpaceDN w:val="0"/>
        <w:adjustRightInd w:val="0"/>
        <w:ind w:firstLine="640" w:firstLineChars="200"/>
        <w:jc w:val="left"/>
        <w:rPr>
          <w:rFonts w:cs="黑体" w:asciiTheme="minorEastAsia" w:hAnsiTheme="minorEastAsia"/>
          <w:b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</w:rPr>
        <w:t>（2）部门决算中项目绩效自评结果。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“中央政法转移支付办案费”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项目绩效自评综述：根据年初设定的绩效目标，项目绩效自评得分为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88.5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分。项目全年预算数为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197.4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万元，执行数为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197.4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万元，完成预算的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100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>%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。项目绩效目标完成情况：一是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效维护国家安全、维护社会治安、保护公民人身财产安全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；二是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开展多项专项行动、积极破获积案要案、降低辖区发案率；三是推动“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109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”特大网络赌博案的顺利结案；四是确保全局办案油料、差旅、委托业务等办案开支。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发现的主要问题：一是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新形势下网络案件发生频繁，科技技术手段购置落后，预防和侦破率低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；二是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疫情好转外出办案增多办案经费不足，办案开支无法全额保障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。下一步改进措施：一是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加强科技强警，采购专用设备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；二是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加大依法执收力度，加强办案开支经费保障。三是加强专项资金管理和监督、提高专项资金使用效益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。</w:t>
      </w:r>
    </w:p>
    <w:p>
      <w:pPr>
        <w:pStyle w:val="10"/>
        <w:rPr>
          <w:sz w:val="72"/>
          <w:szCs w:val="72"/>
        </w:rPr>
      </w:pPr>
    </w:p>
    <w:p>
      <w:pPr>
        <w:pStyle w:val="10"/>
        <w:jc w:val="both"/>
        <w:rPr>
          <w:sz w:val="72"/>
          <w:szCs w:val="72"/>
        </w:rPr>
      </w:pPr>
    </w:p>
    <w:p>
      <w:pPr>
        <w:pStyle w:val="10"/>
        <w:jc w:val="both"/>
        <w:rPr>
          <w:rFonts w:hint="eastAsia"/>
          <w:sz w:val="72"/>
          <w:szCs w:val="72"/>
        </w:rPr>
      </w:pPr>
    </w:p>
    <w:p>
      <w:pPr>
        <w:pStyle w:val="10"/>
        <w:jc w:val="center"/>
        <w:rPr>
          <w:rFonts w:hint="eastAsia"/>
          <w:sz w:val="72"/>
          <w:szCs w:val="72"/>
        </w:rPr>
      </w:pPr>
    </w:p>
    <w:p>
      <w:pPr>
        <w:pStyle w:val="10"/>
        <w:jc w:val="center"/>
        <w:rPr>
          <w:rFonts w:hint="eastAsia"/>
          <w:sz w:val="72"/>
          <w:szCs w:val="72"/>
        </w:rPr>
      </w:pPr>
    </w:p>
    <w:p>
      <w:pPr>
        <w:pStyle w:val="10"/>
        <w:jc w:val="center"/>
        <w:rPr>
          <w:rFonts w:hint="eastAsia"/>
          <w:sz w:val="72"/>
          <w:szCs w:val="72"/>
        </w:rPr>
      </w:pPr>
    </w:p>
    <w:p>
      <w:pPr>
        <w:pStyle w:val="10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第四部分</w:t>
      </w: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hint="eastAsia" w:ascii="黑体" w:eastAsia="黑体" w:cs="黑体"/>
          <w:color w:val="000000"/>
          <w:kern w:val="0"/>
          <w:sz w:val="70"/>
          <w:szCs w:val="70"/>
        </w:rPr>
        <w:t>名词解释</w:t>
      </w:r>
    </w:p>
    <w:p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ascii="黑体" w:eastAsia="黑体" w:cs="黑体"/>
          <w:color w:val="000000"/>
          <w:kern w:val="0"/>
          <w:sz w:val="70"/>
          <w:szCs w:val="70"/>
        </w:rPr>
        <w:br w:type="page"/>
      </w:r>
    </w:p>
    <w:p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</w:p>
    <w:p>
      <w:pPr>
        <w:ind w:firstLine="640" w:firstLineChars="200"/>
        <w:jc w:val="left"/>
        <w:rPr>
          <w:rFonts w:hint="eastAsia"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一、“三公”经费：指用财政拨款安排的因公出国（境）费、公务用车购置及运行费和公务接待费。其中，因公出国（境）费反映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二、机关运行经费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是指各部门的公用经费，包括办公及印刷费、邮电费、差旅费、会议费、福利费、日常维修费、专用材料及一般设备购置费、办公用房水电费、办公用房取暖费、办公用房物业管理费、公务用车运行维护费以及其他费用。</w:t>
      </w:r>
    </w:p>
    <w:p>
      <w:pPr>
        <w:pStyle w:val="10"/>
        <w:jc w:val="center"/>
        <w:rPr>
          <w:sz w:val="72"/>
          <w:szCs w:val="72"/>
        </w:rPr>
      </w:pPr>
    </w:p>
    <w:p>
      <w:pPr>
        <w:pStyle w:val="10"/>
        <w:jc w:val="center"/>
        <w:rPr>
          <w:sz w:val="72"/>
          <w:szCs w:val="72"/>
        </w:rPr>
      </w:pPr>
    </w:p>
    <w:p>
      <w:pPr>
        <w:pStyle w:val="10"/>
        <w:jc w:val="center"/>
        <w:rPr>
          <w:sz w:val="72"/>
          <w:szCs w:val="72"/>
        </w:rPr>
      </w:pPr>
    </w:p>
    <w:p>
      <w:pPr>
        <w:pStyle w:val="10"/>
        <w:jc w:val="center"/>
        <w:rPr>
          <w:sz w:val="72"/>
          <w:szCs w:val="72"/>
        </w:rPr>
      </w:pPr>
    </w:p>
    <w:p>
      <w:pPr>
        <w:pStyle w:val="10"/>
        <w:jc w:val="center"/>
        <w:rPr>
          <w:sz w:val="72"/>
          <w:szCs w:val="72"/>
        </w:rPr>
      </w:pPr>
    </w:p>
    <w:p>
      <w:pPr>
        <w:pStyle w:val="10"/>
        <w:jc w:val="center"/>
        <w:rPr>
          <w:sz w:val="72"/>
          <w:szCs w:val="72"/>
        </w:rPr>
      </w:pPr>
    </w:p>
    <w:p>
      <w:pPr>
        <w:pStyle w:val="10"/>
        <w:jc w:val="center"/>
        <w:rPr>
          <w:sz w:val="72"/>
          <w:szCs w:val="72"/>
        </w:rPr>
      </w:pPr>
    </w:p>
    <w:p>
      <w:pPr>
        <w:pStyle w:val="10"/>
        <w:jc w:val="center"/>
        <w:rPr>
          <w:sz w:val="72"/>
          <w:szCs w:val="72"/>
        </w:rPr>
      </w:pPr>
    </w:p>
    <w:p>
      <w:pPr>
        <w:pStyle w:val="10"/>
        <w:jc w:val="center"/>
        <w:rPr>
          <w:sz w:val="72"/>
          <w:szCs w:val="72"/>
        </w:rPr>
      </w:pPr>
    </w:p>
    <w:p>
      <w:pPr>
        <w:pStyle w:val="10"/>
        <w:jc w:val="center"/>
        <w:rPr>
          <w:sz w:val="72"/>
          <w:szCs w:val="72"/>
        </w:rPr>
      </w:pPr>
    </w:p>
    <w:p>
      <w:pPr>
        <w:pStyle w:val="10"/>
        <w:jc w:val="center"/>
        <w:rPr>
          <w:sz w:val="72"/>
          <w:szCs w:val="72"/>
        </w:rPr>
      </w:pPr>
    </w:p>
    <w:p>
      <w:pPr>
        <w:pStyle w:val="10"/>
        <w:jc w:val="center"/>
        <w:rPr>
          <w:sz w:val="72"/>
          <w:szCs w:val="72"/>
        </w:rPr>
      </w:pPr>
    </w:p>
    <w:p>
      <w:pPr>
        <w:pStyle w:val="10"/>
        <w:jc w:val="center"/>
        <w:rPr>
          <w:sz w:val="72"/>
          <w:szCs w:val="72"/>
        </w:rPr>
      </w:pPr>
    </w:p>
    <w:p>
      <w:pPr>
        <w:pStyle w:val="10"/>
        <w:jc w:val="both"/>
        <w:rPr>
          <w:sz w:val="72"/>
          <w:szCs w:val="72"/>
        </w:rPr>
      </w:pPr>
    </w:p>
    <w:p>
      <w:pPr>
        <w:pStyle w:val="10"/>
        <w:jc w:val="center"/>
        <w:rPr>
          <w:sz w:val="72"/>
          <w:szCs w:val="72"/>
        </w:rPr>
      </w:pPr>
    </w:p>
    <w:p>
      <w:pPr>
        <w:pStyle w:val="10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第五部分</w:t>
      </w: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hint="eastAsia" w:ascii="黑体" w:eastAsia="黑体" w:cs="黑体"/>
          <w:color w:val="000000"/>
          <w:kern w:val="0"/>
          <w:sz w:val="70"/>
          <w:szCs w:val="70"/>
        </w:rPr>
        <w:t>附件</w:t>
      </w:r>
    </w:p>
    <w:p>
      <w:pPr>
        <w:widowControl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6A298D"/>
    <w:multiLevelType w:val="singleLevel"/>
    <w:tmpl w:val="B16A298D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A14CEFD"/>
    <w:multiLevelType w:val="singleLevel"/>
    <w:tmpl w:val="FA14CEFD"/>
    <w:lvl w:ilvl="0" w:tentative="0">
      <w:start w:val="3"/>
      <w:numFmt w:val="decimal"/>
      <w:suff w:val="nothing"/>
      <w:lvlText w:val="%1、"/>
      <w:lvlJc w:val="left"/>
    </w:lvl>
  </w:abstractNum>
  <w:abstractNum w:abstractNumId="2">
    <w:nsid w:val="373518C1"/>
    <w:multiLevelType w:val="multilevel"/>
    <w:tmpl w:val="373518C1"/>
    <w:lvl w:ilvl="0" w:tentative="0">
      <w:start w:val="1"/>
      <w:numFmt w:val="none"/>
      <w:lvlText w:val="一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ZlYjhhYjE1MTNlYjg0MTJlMzgxN2U1NjI5NTliNzUifQ=="/>
  </w:docVars>
  <w:rsids>
    <w:rsidRoot w:val="00172A27"/>
    <w:rsid w:val="0002229B"/>
    <w:rsid w:val="000273BD"/>
    <w:rsid w:val="000415B7"/>
    <w:rsid w:val="00041E3F"/>
    <w:rsid w:val="00055DAA"/>
    <w:rsid w:val="00061F7B"/>
    <w:rsid w:val="000658A3"/>
    <w:rsid w:val="00074155"/>
    <w:rsid w:val="000873EF"/>
    <w:rsid w:val="000A3F69"/>
    <w:rsid w:val="00103957"/>
    <w:rsid w:val="00124A1F"/>
    <w:rsid w:val="00152C6D"/>
    <w:rsid w:val="00162D39"/>
    <w:rsid w:val="001678BD"/>
    <w:rsid w:val="00182373"/>
    <w:rsid w:val="001A67DB"/>
    <w:rsid w:val="001C3C29"/>
    <w:rsid w:val="001D51E5"/>
    <w:rsid w:val="001E080D"/>
    <w:rsid w:val="001E53D0"/>
    <w:rsid w:val="001F0C3B"/>
    <w:rsid w:val="00202C14"/>
    <w:rsid w:val="00202C82"/>
    <w:rsid w:val="00214427"/>
    <w:rsid w:val="00226CB7"/>
    <w:rsid w:val="00264552"/>
    <w:rsid w:val="00264EF9"/>
    <w:rsid w:val="00265724"/>
    <w:rsid w:val="0027426B"/>
    <w:rsid w:val="002E0A30"/>
    <w:rsid w:val="003130C4"/>
    <w:rsid w:val="00316C4B"/>
    <w:rsid w:val="0032192B"/>
    <w:rsid w:val="003479BD"/>
    <w:rsid w:val="0037197D"/>
    <w:rsid w:val="003768D5"/>
    <w:rsid w:val="003C4197"/>
    <w:rsid w:val="003C47E6"/>
    <w:rsid w:val="003C4FC2"/>
    <w:rsid w:val="003E2331"/>
    <w:rsid w:val="00416E61"/>
    <w:rsid w:val="0042790C"/>
    <w:rsid w:val="004506F9"/>
    <w:rsid w:val="004717A2"/>
    <w:rsid w:val="00473DF3"/>
    <w:rsid w:val="00487911"/>
    <w:rsid w:val="00491741"/>
    <w:rsid w:val="004B0CEE"/>
    <w:rsid w:val="00500E5F"/>
    <w:rsid w:val="005122EF"/>
    <w:rsid w:val="0051441A"/>
    <w:rsid w:val="00517C33"/>
    <w:rsid w:val="00517D5F"/>
    <w:rsid w:val="00521AF2"/>
    <w:rsid w:val="00523644"/>
    <w:rsid w:val="0054069E"/>
    <w:rsid w:val="00544866"/>
    <w:rsid w:val="005767CC"/>
    <w:rsid w:val="00590D9F"/>
    <w:rsid w:val="00595D26"/>
    <w:rsid w:val="005A74E6"/>
    <w:rsid w:val="005B404E"/>
    <w:rsid w:val="005D4D55"/>
    <w:rsid w:val="005E2CFB"/>
    <w:rsid w:val="005F2103"/>
    <w:rsid w:val="005F3D1C"/>
    <w:rsid w:val="0062378F"/>
    <w:rsid w:val="00641842"/>
    <w:rsid w:val="00651EEC"/>
    <w:rsid w:val="00686673"/>
    <w:rsid w:val="00691E8C"/>
    <w:rsid w:val="006A22C4"/>
    <w:rsid w:val="006A348B"/>
    <w:rsid w:val="006A351B"/>
    <w:rsid w:val="006B0422"/>
    <w:rsid w:val="006C1B53"/>
    <w:rsid w:val="006D7730"/>
    <w:rsid w:val="006E5284"/>
    <w:rsid w:val="006F3EB5"/>
    <w:rsid w:val="00702E34"/>
    <w:rsid w:val="00704395"/>
    <w:rsid w:val="00710FE7"/>
    <w:rsid w:val="00717621"/>
    <w:rsid w:val="00720FF1"/>
    <w:rsid w:val="00727A53"/>
    <w:rsid w:val="00787B42"/>
    <w:rsid w:val="007C4539"/>
    <w:rsid w:val="007F3657"/>
    <w:rsid w:val="00812ED5"/>
    <w:rsid w:val="008277D9"/>
    <w:rsid w:val="0084478C"/>
    <w:rsid w:val="0086638C"/>
    <w:rsid w:val="008A3E8D"/>
    <w:rsid w:val="009237C4"/>
    <w:rsid w:val="00944C48"/>
    <w:rsid w:val="00950252"/>
    <w:rsid w:val="00967F5D"/>
    <w:rsid w:val="009A0F95"/>
    <w:rsid w:val="009B3ADF"/>
    <w:rsid w:val="009C3B52"/>
    <w:rsid w:val="009E6817"/>
    <w:rsid w:val="009E6E9A"/>
    <w:rsid w:val="00A01D2B"/>
    <w:rsid w:val="00A42218"/>
    <w:rsid w:val="00A70249"/>
    <w:rsid w:val="00A70B02"/>
    <w:rsid w:val="00A71D9F"/>
    <w:rsid w:val="00A92E9F"/>
    <w:rsid w:val="00B33BEA"/>
    <w:rsid w:val="00B57C9F"/>
    <w:rsid w:val="00B63572"/>
    <w:rsid w:val="00B845B3"/>
    <w:rsid w:val="00B85D8B"/>
    <w:rsid w:val="00BB4A40"/>
    <w:rsid w:val="00BD6C3E"/>
    <w:rsid w:val="00BE3674"/>
    <w:rsid w:val="00C10681"/>
    <w:rsid w:val="00C3049A"/>
    <w:rsid w:val="00C31B1E"/>
    <w:rsid w:val="00C77645"/>
    <w:rsid w:val="00CE04C3"/>
    <w:rsid w:val="00CE76A0"/>
    <w:rsid w:val="00D148C6"/>
    <w:rsid w:val="00D17A8A"/>
    <w:rsid w:val="00D415BA"/>
    <w:rsid w:val="00D63780"/>
    <w:rsid w:val="00D644EE"/>
    <w:rsid w:val="00D75489"/>
    <w:rsid w:val="00DD06FF"/>
    <w:rsid w:val="00DD5FE9"/>
    <w:rsid w:val="00E00C7A"/>
    <w:rsid w:val="00E209CF"/>
    <w:rsid w:val="00E37D6C"/>
    <w:rsid w:val="00E55B68"/>
    <w:rsid w:val="00E67BE6"/>
    <w:rsid w:val="00E8683C"/>
    <w:rsid w:val="00EA2B72"/>
    <w:rsid w:val="00F74360"/>
    <w:rsid w:val="00FB462F"/>
    <w:rsid w:val="00FE16FA"/>
    <w:rsid w:val="00FE328A"/>
    <w:rsid w:val="00FE6269"/>
    <w:rsid w:val="00FF5CD6"/>
    <w:rsid w:val="03FA1C88"/>
    <w:rsid w:val="05633A58"/>
    <w:rsid w:val="06B411F0"/>
    <w:rsid w:val="087403E0"/>
    <w:rsid w:val="0BE56081"/>
    <w:rsid w:val="0D4D3F9E"/>
    <w:rsid w:val="13BE003E"/>
    <w:rsid w:val="17A87124"/>
    <w:rsid w:val="2413011A"/>
    <w:rsid w:val="27DB542D"/>
    <w:rsid w:val="296A22A9"/>
    <w:rsid w:val="2FEB6F64"/>
    <w:rsid w:val="31187D00"/>
    <w:rsid w:val="366364DD"/>
    <w:rsid w:val="366F5697"/>
    <w:rsid w:val="370B6762"/>
    <w:rsid w:val="45F9639D"/>
    <w:rsid w:val="48ED43E7"/>
    <w:rsid w:val="51242696"/>
    <w:rsid w:val="533B0628"/>
    <w:rsid w:val="5B2427AC"/>
    <w:rsid w:val="60A907EA"/>
    <w:rsid w:val="6145544E"/>
    <w:rsid w:val="6445654E"/>
    <w:rsid w:val="6B0238F9"/>
    <w:rsid w:val="79632C5C"/>
    <w:rsid w:val="7A0B1F50"/>
    <w:rsid w:val="7A980C6E"/>
    <w:rsid w:val="7E63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kern w:val="0"/>
      <w:sz w:val="24"/>
      <w:szCs w:val="24"/>
      <w:lang w:val="en-US" w:eastAsia="zh-CN" w:bidi="ar-SA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80904-B2FB-4FE3-894F-42F14B17BC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15</Pages>
  <Words>4558</Words>
  <Characters>5132</Characters>
  <Lines>69</Lines>
  <Paragraphs>19</Paragraphs>
  <TotalTime>2</TotalTime>
  <ScaleCrop>false</ScaleCrop>
  <LinksUpToDate>false</LinksUpToDate>
  <CharactersWithSpaces>5152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2020-07-02T02:32:00Z</dcterms:created>
  <dc:creator>李航 null</dc:creator>
  <cp:lastModifiedBy>Administrator</cp:lastModifiedBy>
  <cp:lastPrinted>2022-07-27T12:55:00Z</cp:lastPrinted>
  <dcterms:modified xsi:type="dcterms:W3CDTF">2022-09-29T08:59:07Z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C02081F76A1C414C807C3137DC2EA958</vt:lpwstr>
  </property>
</Properties>
</file>